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CE22" w14:textId="1AC6AB18" w:rsidR="00E407FB" w:rsidRDefault="00000000">
      <w:pPr>
        <w:spacing w:before="0"/>
        <w:rPr>
          <w:sz w:val="8"/>
        </w:rPr>
      </w:pPr>
      <w:r>
        <w:rPr>
          <w:noProof/>
          <w:sz w:val="8"/>
        </w:rPr>
        <w:pict w14:anchorId="72CC0A76">
          <v:rect id="_x0000_s1026" style="position:absolute;margin-left:-5.5pt;margin-top:-34.2pt;width:513.7pt;height:794pt;z-index:1" o:allowincell="f" filled="f" strokecolor="red" strokeweight="6pt"/>
        </w:pict>
      </w:r>
    </w:p>
    <w:tbl>
      <w:tblPr>
        <w:tblW w:w="0" w:type="auto"/>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26"/>
        <w:gridCol w:w="7369"/>
        <w:gridCol w:w="228"/>
        <w:gridCol w:w="1191"/>
      </w:tblGrid>
      <w:tr w:rsidR="00E407FB" w14:paraId="6FE23295" w14:textId="77777777" w:rsidTr="001F5E51">
        <w:tc>
          <w:tcPr>
            <w:tcW w:w="1417" w:type="dxa"/>
            <w:gridSpan w:val="2"/>
            <w:tcBorders>
              <w:bottom w:val="nil"/>
            </w:tcBorders>
          </w:tcPr>
          <w:p w14:paraId="28B5A9B2" w14:textId="1063CBAC" w:rsidR="00E407FB" w:rsidRDefault="00E407FB">
            <w:pPr>
              <w:pStyle w:val="berschrift5"/>
            </w:pPr>
          </w:p>
        </w:tc>
        <w:tc>
          <w:tcPr>
            <w:tcW w:w="7369" w:type="dxa"/>
            <w:tcBorders>
              <w:bottom w:val="nil"/>
            </w:tcBorders>
          </w:tcPr>
          <w:p w14:paraId="5C3BE61B" w14:textId="77777777" w:rsidR="00E407FB" w:rsidRDefault="00E407FB">
            <w:pPr>
              <w:spacing w:before="40" w:after="40"/>
              <w:jc w:val="center"/>
              <w:rPr>
                <w:b/>
                <w:color w:val="000000"/>
                <w:sz w:val="24"/>
              </w:rPr>
            </w:pPr>
            <w:r>
              <w:rPr>
                <w:b/>
                <w:color w:val="000000"/>
                <w:sz w:val="24"/>
              </w:rPr>
              <w:t>BETRIEBSANWEISUNG</w:t>
            </w:r>
          </w:p>
          <w:p w14:paraId="00F78EDA" w14:textId="77777777" w:rsidR="00E407FB" w:rsidRDefault="00E407FB">
            <w:pPr>
              <w:spacing w:before="0" w:after="40"/>
              <w:jc w:val="center"/>
              <w:rPr>
                <w:color w:val="000000"/>
                <w:sz w:val="20"/>
              </w:rPr>
            </w:pPr>
            <w:r>
              <w:rPr>
                <w:color w:val="000000"/>
                <w:sz w:val="20"/>
              </w:rPr>
              <w:t>gemäß §</w:t>
            </w:r>
            <w:r w:rsidR="00342C57">
              <w:rPr>
                <w:color w:val="000000"/>
                <w:sz w:val="20"/>
              </w:rPr>
              <w:t>14</w:t>
            </w:r>
            <w:r>
              <w:rPr>
                <w:color w:val="000000"/>
                <w:sz w:val="20"/>
              </w:rPr>
              <w:t xml:space="preserve"> GefStoffV</w:t>
            </w:r>
          </w:p>
          <w:p w14:paraId="342FEA08" w14:textId="77777777" w:rsidR="00E407FB" w:rsidRDefault="00E407FB">
            <w:pPr>
              <w:shd w:val="pct10" w:color="auto" w:fill="FFFFFF"/>
              <w:spacing w:before="40" w:after="40"/>
              <w:jc w:val="center"/>
              <w:rPr>
                <w:b/>
                <w:color w:val="000000"/>
              </w:rPr>
            </w:pPr>
            <w:r>
              <w:rPr>
                <w:b/>
                <w:color w:val="000000"/>
              </w:rPr>
              <w:t>Geltungsbereich und Tätigkeiten</w:t>
            </w:r>
          </w:p>
          <w:p w14:paraId="2D320E86" w14:textId="74E398FC" w:rsidR="00E407FB" w:rsidRPr="000E1EF8" w:rsidRDefault="004976AF">
            <w:pPr>
              <w:shd w:val="pct10" w:color="auto" w:fill="FFFFFF"/>
              <w:spacing w:before="40" w:after="40"/>
              <w:jc w:val="center"/>
              <w:rPr>
                <w:color w:val="000000"/>
                <w:sz w:val="20"/>
              </w:rPr>
            </w:pPr>
            <w:r w:rsidRPr="000E1EF8">
              <w:rPr>
                <w:color w:val="000000"/>
                <w:sz w:val="20"/>
              </w:rPr>
              <w:t>Tätigkeiten mit Mehl</w:t>
            </w:r>
          </w:p>
        </w:tc>
        <w:tc>
          <w:tcPr>
            <w:tcW w:w="1419" w:type="dxa"/>
            <w:gridSpan w:val="2"/>
            <w:tcBorders>
              <w:bottom w:val="nil"/>
            </w:tcBorders>
          </w:tcPr>
          <w:p w14:paraId="7463F2F2" w14:textId="24C8D6D5" w:rsidR="00E407FB" w:rsidRDefault="00E407FB">
            <w:pPr>
              <w:spacing w:before="40" w:after="40"/>
              <w:jc w:val="center"/>
              <w:rPr>
                <w:b/>
                <w:sz w:val="20"/>
              </w:rPr>
            </w:pPr>
            <w:r>
              <w:rPr>
                <w:b/>
                <w:sz w:val="20"/>
              </w:rPr>
              <w:t xml:space="preserve">Stand </w:t>
            </w:r>
            <w:r w:rsidR="004D21E5">
              <w:rPr>
                <w:b/>
                <w:sz w:val="20"/>
              </w:rPr>
              <w:t>0</w:t>
            </w:r>
            <w:r w:rsidR="004976AF">
              <w:rPr>
                <w:b/>
                <w:sz w:val="20"/>
              </w:rPr>
              <w:t>7</w:t>
            </w:r>
            <w:r w:rsidR="004D21E5">
              <w:rPr>
                <w:b/>
                <w:sz w:val="20"/>
              </w:rPr>
              <w:t>/</w:t>
            </w:r>
            <w:r w:rsidR="004976AF">
              <w:rPr>
                <w:b/>
                <w:sz w:val="20"/>
              </w:rPr>
              <w:t>202</w:t>
            </w:r>
            <w:r w:rsidR="00CF1201">
              <w:rPr>
                <w:b/>
                <w:sz w:val="20"/>
              </w:rPr>
              <w:t>3</w:t>
            </w:r>
          </w:p>
          <w:p w14:paraId="396C2251" w14:textId="77777777" w:rsidR="00E407FB" w:rsidRDefault="00E407FB">
            <w:pPr>
              <w:spacing w:before="360"/>
              <w:jc w:val="center"/>
              <w:rPr>
                <w:sz w:val="16"/>
              </w:rPr>
            </w:pPr>
            <w:r>
              <w:rPr>
                <w:sz w:val="16"/>
              </w:rPr>
              <w:t>______________</w:t>
            </w:r>
          </w:p>
          <w:p w14:paraId="046D4AFB" w14:textId="77777777" w:rsidR="00E407FB" w:rsidRDefault="00E407FB">
            <w:pPr>
              <w:spacing w:before="0"/>
              <w:jc w:val="center"/>
              <w:rPr>
                <w:sz w:val="16"/>
              </w:rPr>
            </w:pPr>
            <w:r>
              <w:rPr>
                <w:sz w:val="16"/>
              </w:rPr>
              <w:t>Freigabe</w:t>
            </w:r>
          </w:p>
        </w:tc>
      </w:tr>
      <w:tr w:rsidR="00E407FB" w14:paraId="58A5AEC0" w14:textId="77777777" w:rsidTr="001F5E51">
        <w:tblPrEx>
          <w:tblBorders>
            <w:top w:val="single" w:sz="4" w:space="0" w:color="auto"/>
            <w:bottom w:val="single" w:sz="4" w:space="0" w:color="auto"/>
            <w:insideH w:val="none" w:sz="0" w:space="0" w:color="auto"/>
            <w:insideV w:val="none" w:sz="0" w:space="0" w:color="auto"/>
          </w:tblBorders>
        </w:tblPrEx>
        <w:tc>
          <w:tcPr>
            <w:tcW w:w="10205" w:type="dxa"/>
            <w:gridSpan w:val="5"/>
            <w:tcBorders>
              <w:top w:val="nil"/>
              <w:left w:val="nil"/>
              <w:bottom w:val="nil"/>
              <w:right w:val="nil"/>
            </w:tcBorders>
            <w:shd w:val="clear" w:color="auto" w:fill="FF0000"/>
          </w:tcPr>
          <w:p w14:paraId="53BB6F32" w14:textId="77777777" w:rsidR="00E407FB" w:rsidRDefault="00E407FB">
            <w:pPr>
              <w:spacing w:before="40" w:after="40"/>
              <w:jc w:val="center"/>
              <w:rPr>
                <w:b/>
                <w:color w:val="FFFFFF"/>
                <w:sz w:val="24"/>
              </w:rPr>
            </w:pPr>
            <w:r>
              <w:rPr>
                <w:b/>
                <w:color w:val="FFFFFF"/>
                <w:sz w:val="24"/>
              </w:rPr>
              <w:t>GEFAHRSTOFFBEZEICHNUNG</w:t>
            </w:r>
          </w:p>
        </w:tc>
      </w:tr>
      <w:tr w:rsidR="00E407FB" w14:paraId="21BD04C3" w14:textId="77777777" w:rsidTr="001F5E51">
        <w:tblPrEx>
          <w:tblBorders>
            <w:top w:val="single" w:sz="4" w:space="0" w:color="auto"/>
            <w:bottom w:val="single" w:sz="4" w:space="0" w:color="auto"/>
          </w:tblBorders>
        </w:tblPrEx>
        <w:tc>
          <w:tcPr>
            <w:tcW w:w="10205" w:type="dxa"/>
            <w:gridSpan w:val="5"/>
            <w:tcBorders>
              <w:top w:val="nil"/>
              <w:left w:val="nil"/>
              <w:bottom w:val="nil"/>
              <w:right w:val="nil"/>
            </w:tcBorders>
            <w:vAlign w:val="center"/>
          </w:tcPr>
          <w:p w14:paraId="57FC9168" w14:textId="77777777" w:rsidR="001F5E51" w:rsidRPr="000E1EF8" w:rsidRDefault="001F5E51">
            <w:pPr>
              <w:pStyle w:val="berschrift6"/>
              <w:rPr>
                <w:sz w:val="22"/>
                <w:szCs w:val="22"/>
              </w:rPr>
            </w:pPr>
            <w:r w:rsidRPr="000E1EF8">
              <w:rPr>
                <w:sz w:val="22"/>
                <w:szCs w:val="22"/>
              </w:rPr>
              <w:t xml:space="preserve">Atemwegssensibilisierende Stoffe in Backbetrieben </w:t>
            </w:r>
          </w:p>
          <w:p w14:paraId="63A73C31" w14:textId="43EE94CE" w:rsidR="00E407FB" w:rsidRPr="000E1EF8" w:rsidRDefault="001F5E51" w:rsidP="001F5E51">
            <w:pPr>
              <w:pStyle w:val="berschrift6"/>
              <w:rPr>
                <w:sz w:val="20"/>
              </w:rPr>
            </w:pPr>
            <w:r w:rsidRPr="000E1EF8">
              <w:rPr>
                <w:b w:val="0"/>
                <w:bCs/>
                <w:sz w:val="20"/>
              </w:rPr>
              <w:t>(Mehlstäube, Backmittelstäube)</w:t>
            </w:r>
          </w:p>
        </w:tc>
      </w:tr>
      <w:tr w:rsidR="00E407FB" w14:paraId="37F71241" w14:textId="77777777" w:rsidTr="001F5E51">
        <w:tblPrEx>
          <w:tblBorders>
            <w:top w:val="single" w:sz="4" w:space="0" w:color="auto"/>
            <w:bottom w:val="single" w:sz="4" w:space="0" w:color="auto"/>
            <w:insideH w:val="none" w:sz="0" w:space="0" w:color="auto"/>
            <w:insideV w:val="none" w:sz="0" w:space="0" w:color="auto"/>
          </w:tblBorders>
        </w:tblPrEx>
        <w:tc>
          <w:tcPr>
            <w:tcW w:w="10205" w:type="dxa"/>
            <w:gridSpan w:val="5"/>
            <w:tcBorders>
              <w:top w:val="nil"/>
              <w:left w:val="nil"/>
              <w:bottom w:val="nil"/>
              <w:right w:val="nil"/>
            </w:tcBorders>
            <w:shd w:val="clear" w:color="auto" w:fill="FF0000"/>
          </w:tcPr>
          <w:p w14:paraId="6B6C61F6" w14:textId="77777777" w:rsidR="00E407FB" w:rsidRDefault="00E407FB">
            <w:pPr>
              <w:spacing w:before="40" w:after="40"/>
              <w:jc w:val="center"/>
              <w:rPr>
                <w:b/>
                <w:color w:val="FFFFFF"/>
                <w:sz w:val="24"/>
              </w:rPr>
            </w:pPr>
            <w:r>
              <w:rPr>
                <w:b/>
                <w:color w:val="FFFFFF"/>
                <w:sz w:val="24"/>
              </w:rPr>
              <w:t>GEFAHREN FÜR MENSCH UND UMWELT</w:t>
            </w:r>
          </w:p>
        </w:tc>
      </w:tr>
      <w:tr w:rsidR="001F5E51" w14:paraId="6187C38D" w14:textId="77777777" w:rsidTr="008773A2">
        <w:tblPrEx>
          <w:tblBorders>
            <w:top w:val="single" w:sz="4" w:space="0" w:color="auto"/>
            <w:bottom w:val="single" w:sz="4" w:space="0" w:color="auto"/>
          </w:tblBorders>
        </w:tblPrEx>
        <w:trPr>
          <w:cantSplit/>
        </w:trPr>
        <w:tc>
          <w:tcPr>
            <w:tcW w:w="1191" w:type="dxa"/>
            <w:tcBorders>
              <w:top w:val="nil"/>
              <w:left w:val="nil"/>
              <w:bottom w:val="nil"/>
              <w:right w:val="nil"/>
            </w:tcBorders>
            <w:vAlign w:val="center"/>
          </w:tcPr>
          <w:p w14:paraId="1C841312" w14:textId="54C40E86" w:rsidR="001F5E51" w:rsidRDefault="001F5E51" w:rsidP="001F5E51">
            <w:pPr>
              <w:spacing w:before="20" w:after="20"/>
              <w:ind w:left="40"/>
              <w:jc w:val="center"/>
              <w:rPr>
                <w:sz w:val="8"/>
              </w:rPr>
            </w:pPr>
          </w:p>
        </w:tc>
        <w:tc>
          <w:tcPr>
            <w:tcW w:w="9014" w:type="dxa"/>
            <w:gridSpan w:val="4"/>
            <w:tcBorders>
              <w:top w:val="nil"/>
              <w:left w:val="nil"/>
              <w:bottom w:val="nil"/>
              <w:right w:val="nil"/>
            </w:tcBorders>
          </w:tcPr>
          <w:p w14:paraId="28445BF0" w14:textId="7137F1F3" w:rsidR="001F5E51" w:rsidRPr="000E1EF8" w:rsidRDefault="001F5E51" w:rsidP="001F5E51">
            <w:pPr>
              <w:pStyle w:val="MitBullets"/>
              <w:numPr>
                <w:ilvl w:val="0"/>
                <w:numId w:val="0"/>
              </w:numPr>
              <w:rPr>
                <w:rFonts w:cs="Arial"/>
                <w:sz w:val="20"/>
              </w:rPr>
            </w:pPr>
            <w:r w:rsidRPr="000E1EF8">
              <w:rPr>
                <w:rFonts w:cs="Arial"/>
                <w:w w:val="110"/>
                <w:sz w:val="20"/>
              </w:rPr>
              <w:t>Mehlstaub und Backmittelstaub können zur Sensibilisierung und zur Auslösung von allergisch bedingtem Schnupfen und Asthma führen (Berufskrankheit Nr. 4301).</w:t>
            </w:r>
          </w:p>
        </w:tc>
      </w:tr>
      <w:tr w:rsidR="001F5E51" w14:paraId="519C6EEB" w14:textId="77777777" w:rsidTr="001F5E51">
        <w:tblPrEx>
          <w:tblBorders>
            <w:top w:val="single" w:sz="4" w:space="0" w:color="auto"/>
            <w:bottom w:val="single" w:sz="4" w:space="0" w:color="auto"/>
            <w:insideH w:val="none" w:sz="0" w:space="0" w:color="auto"/>
            <w:insideV w:val="none" w:sz="0" w:space="0" w:color="auto"/>
          </w:tblBorders>
        </w:tblPrEx>
        <w:tc>
          <w:tcPr>
            <w:tcW w:w="10205" w:type="dxa"/>
            <w:gridSpan w:val="5"/>
            <w:tcBorders>
              <w:top w:val="nil"/>
              <w:left w:val="nil"/>
              <w:bottom w:val="nil"/>
              <w:right w:val="nil"/>
            </w:tcBorders>
            <w:shd w:val="clear" w:color="auto" w:fill="FF0000"/>
          </w:tcPr>
          <w:p w14:paraId="3065EF5C" w14:textId="3FCAD9AE" w:rsidR="001F5E51" w:rsidRDefault="001F5E51" w:rsidP="001F5E51">
            <w:pPr>
              <w:spacing w:before="40" w:after="40"/>
              <w:jc w:val="center"/>
              <w:rPr>
                <w:b/>
                <w:color w:val="FFFFFF"/>
                <w:sz w:val="24"/>
              </w:rPr>
            </w:pPr>
          </w:p>
        </w:tc>
      </w:tr>
      <w:tr w:rsidR="001F5E51" w14:paraId="7B6532CE" w14:textId="77777777">
        <w:tblPrEx>
          <w:tblBorders>
            <w:top w:val="single" w:sz="4" w:space="0" w:color="auto"/>
            <w:bottom w:val="single" w:sz="4" w:space="0" w:color="auto"/>
          </w:tblBorders>
        </w:tblPrEx>
        <w:tc>
          <w:tcPr>
            <w:tcW w:w="1191" w:type="dxa"/>
            <w:tcBorders>
              <w:top w:val="nil"/>
              <w:left w:val="nil"/>
              <w:bottom w:val="nil"/>
              <w:right w:val="nil"/>
            </w:tcBorders>
            <w:vAlign w:val="center"/>
          </w:tcPr>
          <w:p w14:paraId="795806AF" w14:textId="75337BA0" w:rsidR="001F5E51" w:rsidRDefault="001F5E51" w:rsidP="001F5E51">
            <w:pPr>
              <w:spacing w:before="20" w:after="20"/>
              <w:jc w:val="center"/>
              <w:rPr>
                <w:sz w:val="8"/>
              </w:rPr>
            </w:pPr>
          </w:p>
        </w:tc>
        <w:tc>
          <w:tcPr>
            <w:tcW w:w="7823" w:type="dxa"/>
            <w:gridSpan w:val="3"/>
            <w:tcBorders>
              <w:top w:val="nil"/>
              <w:left w:val="nil"/>
              <w:bottom w:val="nil"/>
              <w:right w:val="nil"/>
            </w:tcBorders>
            <w:vAlign w:val="center"/>
          </w:tcPr>
          <w:p w14:paraId="44F59A7E" w14:textId="77777777" w:rsidR="001F5E51" w:rsidRPr="000E1EF8" w:rsidRDefault="001F5E51" w:rsidP="001F5E51">
            <w:pPr>
              <w:pStyle w:val="MitBullets"/>
              <w:numPr>
                <w:ilvl w:val="0"/>
                <w:numId w:val="0"/>
              </w:numPr>
              <w:spacing w:before="20" w:after="20"/>
              <w:ind w:left="170" w:hanging="170"/>
              <w:rPr>
                <w:sz w:val="20"/>
              </w:rPr>
            </w:pPr>
            <w:r w:rsidRPr="000E1EF8">
              <w:rPr>
                <w:sz w:val="20"/>
              </w:rPr>
              <w:t>Generell sind sensibilisierende Stäube, in der Atemluft zu vermeiden!</w:t>
            </w:r>
          </w:p>
          <w:p w14:paraId="1D34ADEA" w14:textId="77777777" w:rsidR="001F5E51" w:rsidRPr="000E1EF8" w:rsidRDefault="001F5E51" w:rsidP="001F5E51">
            <w:pPr>
              <w:pStyle w:val="MitBullets"/>
              <w:numPr>
                <w:ilvl w:val="0"/>
                <w:numId w:val="0"/>
              </w:numPr>
              <w:spacing w:before="20" w:after="20"/>
              <w:ind w:left="170" w:hanging="170"/>
              <w:rPr>
                <w:b/>
                <w:bCs/>
                <w:sz w:val="20"/>
              </w:rPr>
            </w:pPr>
            <w:r w:rsidRPr="000E1EF8">
              <w:rPr>
                <w:b/>
                <w:bCs/>
                <w:sz w:val="20"/>
              </w:rPr>
              <w:t>Handhabung</w:t>
            </w:r>
          </w:p>
          <w:p w14:paraId="0900B132" w14:textId="77777777" w:rsidR="001F5E51" w:rsidRPr="000E1EF8" w:rsidRDefault="001F5E51" w:rsidP="001F5E51">
            <w:pPr>
              <w:pStyle w:val="MitBullets"/>
              <w:numPr>
                <w:ilvl w:val="0"/>
                <w:numId w:val="0"/>
              </w:numPr>
              <w:spacing w:before="20" w:after="20"/>
              <w:ind w:left="170" w:hanging="170"/>
              <w:rPr>
                <w:sz w:val="20"/>
              </w:rPr>
            </w:pPr>
            <w:r w:rsidRPr="000E1EF8">
              <w:rPr>
                <w:sz w:val="20"/>
              </w:rPr>
              <w:t>Das wird erreicht durch:</w:t>
            </w:r>
          </w:p>
          <w:p w14:paraId="7A9A6DB4" w14:textId="52F01952" w:rsidR="001F5E51" w:rsidRPr="000E1EF8" w:rsidRDefault="001F5E51" w:rsidP="001F5E51">
            <w:pPr>
              <w:pStyle w:val="MitBullets"/>
              <w:numPr>
                <w:ilvl w:val="0"/>
                <w:numId w:val="3"/>
              </w:numPr>
              <w:spacing w:before="20" w:after="20"/>
              <w:ind w:hanging="720"/>
              <w:rPr>
                <w:sz w:val="20"/>
              </w:rPr>
            </w:pPr>
            <w:r w:rsidRPr="000E1EF8">
              <w:rPr>
                <w:sz w:val="20"/>
              </w:rPr>
              <w:t xml:space="preserve">Anwendung staubarmer Arbeitspraktiken bei </w:t>
            </w:r>
            <w:proofErr w:type="spellStart"/>
            <w:r w:rsidRPr="000E1EF8">
              <w:rPr>
                <w:sz w:val="20"/>
              </w:rPr>
              <w:t>Befüllvorgängen</w:t>
            </w:r>
            <w:proofErr w:type="spellEnd"/>
          </w:p>
          <w:p w14:paraId="116F887B" w14:textId="088E4128" w:rsidR="001F5E51" w:rsidRPr="000E1EF8" w:rsidRDefault="001F5E51" w:rsidP="001F5E51">
            <w:pPr>
              <w:pStyle w:val="MitBullets"/>
              <w:numPr>
                <w:ilvl w:val="0"/>
                <w:numId w:val="4"/>
              </w:numPr>
              <w:spacing w:before="20" w:after="20"/>
              <w:rPr>
                <w:sz w:val="20"/>
              </w:rPr>
            </w:pPr>
            <w:r w:rsidRPr="000E1EF8">
              <w:rPr>
                <w:sz w:val="20"/>
              </w:rPr>
              <w:t xml:space="preserve">Handhabung von Sackware: möglichst die Doppelschlitzmethode anwenden. Die Säcke müssen, unter Berücksichtigung ergonomischer Gesichtspunkte, möglichst tief in die zu </w:t>
            </w:r>
            <w:proofErr w:type="spellStart"/>
            <w:r w:rsidRPr="000E1EF8">
              <w:rPr>
                <w:sz w:val="20"/>
              </w:rPr>
              <w:t>befüllenden</w:t>
            </w:r>
            <w:proofErr w:type="spellEnd"/>
            <w:r w:rsidRPr="000E1EF8">
              <w:rPr>
                <w:sz w:val="20"/>
              </w:rPr>
              <w:t xml:space="preserve"> Gefäße gehalten und entleert werden.</w:t>
            </w:r>
          </w:p>
          <w:p w14:paraId="7ED39459" w14:textId="5CB5A815" w:rsidR="001F5E51" w:rsidRPr="000E1EF8" w:rsidRDefault="001F5E51" w:rsidP="001F5E51">
            <w:pPr>
              <w:pStyle w:val="MitBullets"/>
              <w:numPr>
                <w:ilvl w:val="0"/>
                <w:numId w:val="4"/>
              </w:numPr>
              <w:spacing w:before="20" w:after="20"/>
              <w:rPr>
                <w:sz w:val="20"/>
              </w:rPr>
            </w:pPr>
            <w:r w:rsidRPr="000E1EF8">
              <w:rPr>
                <w:sz w:val="20"/>
              </w:rPr>
              <w:t>Mehlentnahme aus der Silowaage: möglichst bis zum Boden reichender Füllschlauch oder Verminderung der Fallenergie durch geschickte Handführung des Schlauches.</w:t>
            </w:r>
          </w:p>
          <w:p w14:paraId="15EF06FB" w14:textId="63B95A92" w:rsidR="001F5E51" w:rsidRPr="000E1EF8" w:rsidRDefault="001F5E51" w:rsidP="001F5E51">
            <w:pPr>
              <w:pStyle w:val="MitBullets"/>
              <w:numPr>
                <w:ilvl w:val="0"/>
                <w:numId w:val="4"/>
              </w:numPr>
              <w:spacing w:before="20" w:after="20"/>
              <w:rPr>
                <w:sz w:val="20"/>
              </w:rPr>
            </w:pPr>
            <w:r w:rsidRPr="000E1EF8">
              <w:rPr>
                <w:sz w:val="20"/>
              </w:rPr>
              <w:t>Verwendung von granulierten, pastösen oder flüssigen Backmitteln.</w:t>
            </w:r>
          </w:p>
          <w:p w14:paraId="0DEB8D59" w14:textId="157C79B9" w:rsidR="001F5E51" w:rsidRPr="000E1EF8" w:rsidRDefault="001F5E51" w:rsidP="001F5E51">
            <w:pPr>
              <w:pStyle w:val="MitBullets"/>
              <w:numPr>
                <w:ilvl w:val="0"/>
                <w:numId w:val="4"/>
              </w:numPr>
              <w:spacing w:before="20" w:after="20"/>
              <w:rPr>
                <w:sz w:val="20"/>
              </w:rPr>
            </w:pPr>
            <w:r w:rsidRPr="000E1EF8">
              <w:rPr>
                <w:sz w:val="20"/>
              </w:rPr>
              <w:t>Abdeckung der Knetmaschinen mit einem dicht schließenden Deckel.</w:t>
            </w:r>
          </w:p>
          <w:p w14:paraId="209A51B9" w14:textId="4311049E" w:rsidR="001F5E51" w:rsidRPr="000E1EF8" w:rsidRDefault="001F5E51" w:rsidP="001F5E51">
            <w:pPr>
              <w:pStyle w:val="MitBullets"/>
              <w:numPr>
                <w:ilvl w:val="0"/>
                <w:numId w:val="3"/>
              </w:numPr>
              <w:spacing w:before="20" w:after="20"/>
              <w:ind w:hanging="720"/>
              <w:rPr>
                <w:sz w:val="20"/>
              </w:rPr>
            </w:pPr>
            <w:r w:rsidRPr="000E1EF8">
              <w:rPr>
                <w:sz w:val="20"/>
              </w:rPr>
              <w:t>Anwendung staubarmer Arbeitspraktiken bei der Teigbereitung</w:t>
            </w:r>
          </w:p>
          <w:p w14:paraId="5B3DD722" w14:textId="1A050963" w:rsidR="001F5E51" w:rsidRPr="000E1EF8" w:rsidRDefault="001F5E51" w:rsidP="001F5E51">
            <w:pPr>
              <w:pStyle w:val="MitBullets"/>
              <w:numPr>
                <w:ilvl w:val="0"/>
                <w:numId w:val="4"/>
              </w:numPr>
              <w:spacing w:before="20" w:after="20"/>
              <w:rPr>
                <w:sz w:val="20"/>
              </w:rPr>
            </w:pPr>
            <w:proofErr w:type="spellStart"/>
            <w:r w:rsidRPr="000E1EF8">
              <w:rPr>
                <w:sz w:val="20"/>
              </w:rPr>
              <w:t>Handwurf</w:t>
            </w:r>
            <w:proofErr w:type="spellEnd"/>
            <w:r w:rsidRPr="000E1EF8">
              <w:rPr>
                <w:sz w:val="20"/>
              </w:rPr>
              <w:t xml:space="preserve"> von Trennmehl unterlassen, stattdessen verreiben oder mit Sieb auftragen.</w:t>
            </w:r>
          </w:p>
          <w:p w14:paraId="6E7324A4" w14:textId="06711E2B" w:rsidR="001F5E51" w:rsidRPr="000E1EF8" w:rsidRDefault="001F5E51" w:rsidP="001F5E51">
            <w:pPr>
              <w:pStyle w:val="MitBullets"/>
              <w:numPr>
                <w:ilvl w:val="0"/>
                <w:numId w:val="4"/>
              </w:numPr>
              <w:spacing w:before="20" w:after="20"/>
              <w:rPr>
                <w:sz w:val="20"/>
              </w:rPr>
            </w:pPr>
            <w:r w:rsidRPr="000E1EF8">
              <w:rPr>
                <w:sz w:val="20"/>
              </w:rPr>
              <w:t>Verwendung von staubarmen Trennmehlen (z. B. HT-Mehl, Weizendunst, Hartweizengrieß) oder von Trennölen.</w:t>
            </w:r>
          </w:p>
          <w:p w14:paraId="525199FE" w14:textId="56B16DAA" w:rsidR="001F5E51" w:rsidRPr="000E1EF8" w:rsidRDefault="001F5E51" w:rsidP="001F5E51">
            <w:pPr>
              <w:pStyle w:val="MitBullets"/>
              <w:spacing w:before="20" w:after="20"/>
              <w:ind w:left="170" w:hanging="170"/>
              <w:rPr>
                <w:sz w:val="20"/>
              </w:rPr>
            </w:pPr>
            <w:r w:rsidRPr="000E1EF8">
              <w:rPr>
                <w:sz w:val="20"/>
              </w:rPr>
              <w:t>Anwendung staubarmer Reinigungsverfahren</w:t>
            </w:r>
          </w:p>
          <w:p w14:paraId="1F8D8D34" w14:textId="6FBFC0E6" w:rsidR="001F5E51" w:rsidRPr="000E1EF8" w:rsidRDefault="001F5E51" w:rsidP="001F5E51">
            <w:pPr>
              <w:pStyle w:val="MitBullets"/>
              <w:numPr>
                <w:ilvl w:val="0"/>
                <w:numId w:val="4"/>
              </w:numPr>
              <w:spacing w:before="20" w:after="20"/>
              <w:rPr>
                <w:sz w:val="20"/>
              </w:rPr>
            </w:pPr>
            <w:r w:rsidRPr="000E1EF8">
              <w:rPr>
                <w:sz w:val="20"/>
              </w:rPr>
              <w:t>Schaber, zugelassene Staubsauger, Nassreinigung.</w:t>
            </w:r>
          </w:p>
          <w:p w14:paraId="146EB4E6" w14:textId="77777777" w:rsidR="001F5E51" w:rsidRPr="000E1EF8" w:rsidRDefault="001F5E51" w:rsidP="001F5E51">
            <w:pPr>
              <w:pStyle w:val="MitBullets"/>
              <w:numPr>
                <w:ilvl w:val="0"/>
                <w:numId w:val="0"/>
              </w:numPr>
              <w:spacing w:before="20" w:after="20"/>
              <w:rPr>
                <w:sz w:val="20"/>
              </w:rPr>
            </w:pPr>
            <w:r w:rsidRPr="000E1EF8">
              <w:rPr>
                <w:sz w:val="20"/>
              </w:rPr>
              <w:t>Die Reinigung der Maschinen und Fußböden mit Druckluft ist verboten!</w:t>
            </w:r>
          </w:p>
          <w:p w14:paraId="761E8716" w14:textId="77777777" w:rsidR="001F5E51" w:rsidRPr="000E1EF8" w:rsidRDefault="001F5E51" w:rsidP="001F5E51">
            <w:pPr>
              <w:pStyle w:val="MitBullets"/>
              <w:numPr>
                <w:ilvl w:val="0"/>
                <w:numId w:val="0"/>
              </w:numPr>
              <w:spacing w:before="20" w:after="20"/>
              <w:rPr>
                <w:b/>
                <w:bCs/>
                <w:sz w:val="20"/>
              </w:rPr>
            </w:pPr>
            <w:r w:rsidRPr="000E1EF8">
              <w:rPr>
                <w:b/>
                <w:bCs/>
                <w:sz w:val="20"/>
              </w:rPr>
              <w:t>Lagerung</w:t>
            </w:r>
          </w:p>
          <w:p w14:paraId="6DB97217" w14:textId="0C31454A" w:rsidR="001F5E51" w:rsidRPr="000E1EF8" w:rsidRDefault="001F5E51" w:rsidP="001F5E51">
            <w:pPr>
              <w:pStyle w:val="MitBullets"/>
              <w:numPr>
                <w:ilvl w:val="0"/>
                <w:numId w:val="0"/>
              </w:numPr>
              <w:spacing w:before="20" w:after="20"/>
              <w:ind w:left="170" w:hanging="170"/>
              <w:rPr>
                <w:sz w:val="20"/>
              </w:rPr>
            </w:pPr>
            <w:r w:rsidRPr="000E1EF8">
              <w:rPr>
                <w:sz w:val="20"/>
              </w:rPr>
              <w:t>Behälter möglichst dicht geschlossen halten.</w:t>
            </w:r>
          </w:p>
        </w:tc>
        <w:tc>
          <w:tcPr>
            <w:tcW w:w="1191" w:type="dxa"/>
            <w:tcBorders>
              <w:top w:val="nil"/>
              <w:left w:val="nil"/>
              <w:bottom w:val="nil"/>
              <w:right w:val="nil"/>
            </w:tcBorders>
            <w:vAlign w:val="center"/>
          </w:tcPr>
          <w:p w14:paraId="7E5AC5DA" w14:textId="531AA222" w:rsidR="001F5E51" w:rsidRDefault="001F5E51" w:rsidP="001F5E51">
            <w:pPr>
              <w:spacing w:before="20" w:after="20"/>
              <w:ind w:left="-57"/>
              <w:jc w:val="center"/>
              <w:rPr>
                <w:sz w:val="8"/>
              </w:rPr>
            </w:pPr>
          </w:p>
        </w:tc>
      </w:tr>
      <w:tr w:rsidR="001F5E51" w14:paraId="60D034E6" w14:textId="77777777" w:rsidTr="001F5E51">
        <w:tblPrEx>
          <w:tblBorders>
            <w:top w:val="single" w:sz="4" w:space="0" w:color="auto"/>
            <w:bottom w:val="single" w:sz="4" w:space="0" w:color="auto"/>
            <w:insideH w:val="none" w:sz="0" w:space="0" w:color="auto"/>
            <w:insideV w:val="none" w:sz="0" w:space="0" w:color="auto"/>
          </w:tblBorders>
        </w:tblPrEx>
        <w:tc>
          <w:tcPr>
            <w:tcW w:w="10205" w:type="dxa"/>
            <w:gridSpan w:val="5"/>
            <w:tcBorders>
              <w:top w:val="nil"/>
              <w:left w:val="nil"/>
              <w:bottom w:val="nil"/>
              <w:right w:val="nil"/>
            </w:tcBorders>
            <w:shd w:val="clear" w:color="auto" w:fill="FF0000"/>
          </w:tcPr>
          <w:p w14:paraId="745AF75A" w14:textId="77777777" w:rsidR="001F5E51" w:rsidRDefault="001F5E51" w:rsidP="00037CC5">
            <w:pPr>
              <w:spacing w:before="40" w:after="40"/>
              <w:ind w:left="360"/>
              <w:jc w:val="center"/>
              <w:rPr>
                <w:b/>
                <w:color w:val="FFFFFF"/>
                <w:sz w:val="24"/>
              </w:rPr>
            </w:pPr>
            <w:r>
              <w:rPr>
                <w:b/>
                <w:color w:val="FFFFFF"/>
                <w:sz w:val="24"/>
              </w:rPr>
              <w:t>VERHALTEN IM GEFAHRFALL</w:t>
            </w:r>
          </w:p>
        </w:tc>
      </w:tr>
      <w:tr w:rsidR="001F5E51" w14:paraId="0227000D" w14:textId="77777777">
        <w:tblPrEx>
          <w:tblBorders>
            <w:top w:val="single" w:sz="4" w:space="0" w:color="auto"/>
            <w:bottom w:val="single" w:sz="4" w:space="0" w:color="auto"/>
          </w:tblBorders>
        </w:tblPrEx>
        <w:trPr>
          <w:cantSplit/>
        </w:trPr>
        <w:tc>
          <w:tcPr>
            <w:tcW w:w="10205" w:type="dxa"/>
            <w:gridSpan w:val="5"/>
            <w:tcBorders>
              <w:top w:val="nil"/>
              <w:left w:val="nil"/>
              <w:bottom w:val="nil"/>
              <w:right w:val="nil"/>
            </w:tcBorders>
            <w:vAlign w:val="center"/>
          </w:tcPr>
          <w:p w14:paraId="4ADEB0AE" w14:textId="08C9DE24" w:rsidR="001F5E51" w:rsidRDefault="00000000" w:rsidP="001F5E51">
            <w:pPr>
              <w:pStyle w:val="MitBullets"/>
              <w:numPr>
                <w:ilvl w:val="0"/>
                <w:numId w:val="0"/>
              </w:numPr>
              <w:spacing w:before="20" w:after="20"/>
              <w:ind w:left="1134"/>
            </w:pPr>
            <w:r>
              <w:rPr>
                <w:noProof/>
              </w:rPr>
              <w:pict w14:anchorId="461B5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alt="Ein Bild, das Zeichnung enthält.&#10;&#10;Automatisch generierte Beschreibung" style="position:absolute;left:0;text-align:left;margin-left:-.15pt;margin-top:7.65pt;width:52.35pt;height:52.35pt;z-index:2;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
                  <v:imagedata r:id="rId5" o:title="Ein Bild, das Zeichnung enthält"/>
                  <w10:wrap type="square" anchorx="margin" anchory="margin"/>
                </v:shape>
              </w:pict>
            </w:r>
            <w:r w:rsidR="001F5E51" w:rsidRPr="001F5E51">
              <w:t>Bei staubintensiven Arbeiten (z. B. Reinigung von Mehlsilos, Reinigung von Absaugvorrichtungen) ist die persönliche Schutzausrüstung zu tragen. Hierbei sind partikelfiltrierende Halbmasken zu verwenden, mindestens der Stufe FFP2. Bei der Auswahl ist auf einen möglichst geringen Atemwiderstand zu achten (z. B. Unterstützung durch Ausatemventil).</w:t>
            </w:r>
          </w:p>
          <w:p w14:paraId="6ABA24E9" w14:textId="0D0D1856" w:rsidR="001F5E51" w:rsidRDefault="001F5E51" w:rsidP="001F5E51">
            <w:pPr>
              <w:pStyle w:val="MitBullets"/>
              <w:numPr>
                <w:ilvl w:val="0"/>
                <w:numId w:val="0"/>
              </w:numPr>
              <w:spacing w:before="20" w:after="20"/>
              <w:ind w:left="1134"/>
            </w:pPr>
            <w:r>
              <w:t>Unfalltelefon:</w:t>
            </w:r>
            <w:r w:rsidR="000E1EF8">
              <w:t xml:space="preserve"> </w:t>
            </w:r>
            <w:r w:rsidR="000E1EF8" w:rsidRPr="00C70D91">
              <w:rPr>
                <w:b/>
                <w:color w:val="FF0000"/>
                <w:sz w:val="20"/>
              </w:rPr>
              <w:t>vom Betrieb auszufüllen</w:t>
            </w:r>
          </w:p>
        </w:tc>
      </w:tr>
      <w:tr w:rsidR="001F5E51" w14:paraId="15E67882" w14:textId="77777777" w:rsidTr="001F5E51">
        <w:tblPrEx>
          <w:tblBorders>
            <w:top w:val="single" w:sz="4" w:space="0" w:color="auto"/>
            <w:bottom w:val="single" w:sz="4" w:space="0" w:color="auto"/>
            <w:insideH w:val="none" w:sz="0" w:space="0" w:color="auto"/>
            <w:insideV w:val="none" w:sz="0" w:space="0" w:color="auto"/>
          </w:tblBorders>
        </w:tblPrEx>
        <w:tc>
          <w:tcPr>
            <w:tcW w:w="10205" w:type="dxa"/>
            <w:gridSpan w:val="5"/>
            <w:tcBorders>
              <w:top w:val="nil"/>
              <w:left w:val="nil"/>
              <w:bottom w:val="nil"/>
              <w:right w:val="nil"/>
            </w:tcBorders>
            <w:shd w:val="clear" w:color="auto" w:fill="FF0000"/>
          </w:tcPr>
          <w:p w14:paraId="2D399A70" w14:textId="77777777" w:rsidR="001F5E51" w:rsidRDefault="001F5E51" w:rsidP="001F5E51">
            <w:pPr>
              <w:spacing w:before="40" w:after="40"/>
              <w:jc w:val="center"/>
              <w:rPr>
                <w:b/>
                <w:color w:val="FFFFFF"/>
                <w:sz w:val="24"/>
              </w:rPr>
            </w:pPr>
            <w:r>
              <w:rPr>
                <w:b/>
                <w:color w:val="FFFFFF"/>
                <w:sz w:val="24"/>
              </w:rPr>
              <w:t>ERSTE HILFE</w:t>
            </w:r>
          </w:p>
        </w:tc>
      </w:tr>
      <w:tr w:rsidR="001F5E51" w14:paraId="723CDCB9" w14:textId="77777777" w:rsidTr="001F5E51">
        <w:tblPrEx>
          <w:tblBorders>
            <w:top w:val="single" w:sz="4" w:space="0" w:color="auto"/>
            <w:bottom w:val="single" w:sz="4" w:space="0" w:color="auto"/>
          </w:tblBorders>
        </w:tblPrEx>
        <w:tc>
          <w:tcPr>
            <w:tcW w:w="1191" w:type="dxa"/>
            <w:tcBorders>
              <w:top w:val="nil"/>
              <w:left w:val="nil"/>
              <w:bottom w:val="nil"/>
              <w:right w:val="nil"/>
            </w:tcBorders>
            <w:vAlign w:val="center"/>
          </w:tcPr>
          <w:p w14:paraId="45A9D816" w14:textId="77777777" w:rsidR="001F5E51" w:rsidRDefault="00000000" w:rsidP="001F5E51">
            <w:pPr>
              <w:spacing w:before="20" w:after="20"/>
              <w:ind w:left="40"/>
              <w:jc w:val="center"/>
              <w:rPr>
                <w:sz w:val="8"/>
              </w:rPr>
            </w:pPr>
            <w:r>
              <w:rPr>
                <w:sz w:val="8"/>
              </w:rPr>
              <w:pict w14:anchorId="75E49815">
                <v:shape id="_x0000_i1025" type="#_x0000_t75" style="width:52.5pt;height:52.5pt" fillcolor="window">
                  <v:imagedata r:id="rId6" o:title="ERHI_008"/>
                </v:shape>
              </w:pict>
            </w:r>
          </w:p>
        </w:tc>
        <w:tc>
          <w:tcPr>
            <w:tcW w:w="9014" w:type="dxa"/>
            <w:gridSpan w:val="4"/>
            <w:tcBorders>
              <w:top w:val="nil"/>
              <w:left w:val="nil"/>
              <w:bottom w:val="nil"/>
              <w:right w:val="nil"/>
            </w:tcBorders>
            <w:vAlign w:val="center"/>
          </w:tcPr>
          <w:p w14:paraId="3D8D03DE" w14:textId="32E45479" w:rsidR="000E1EF8" w:rsidRDefault="000E1EF8" w:rsidP="000E1EF8">
            <w:pPr>
              <w:pStyle w:val="MitBullets"/>
              <w:numPr>
                <w:ilvl w:val="0"/>
                <w:numId w:val="0"/>
              </w:numPr>
              <w:spacing w:before="20" w:after="20"/>
            </w:pPr>
            <w:r>
              <w:t xml:space="preserve">Bei Atembeschwerden </w:t>
            </w:r>
            <w:r w:rsidR="00037CC5">
              <w:t>Raum</w:t>
            </w:r>
            <w:r>
              <w:t xml:space="preserve"> verlassen und weitere </w:t>
            </w:r>
            <w:r w:rsidR="00037CC5">
              <w:t>S</w:t>
            </w:r>
            <w:r>
              <w:t>taubexposition (auch von verschmutzter Arbeitskleidung) unterbinden, Betroffenen beruhigen und ggf. einengende Kleidung lockern oder entfernen. Arzt aufsuchen. Bei ausgeprägter Atemnot Rettungsdienst/</w:t>
            </w:r>
            <w:r w:rsidR="00037CC5">
              <w:t xml:space="preserve"> </w:t>
            </w:r>
            <w:r>
              <w:t>Notarzt verständigen.</w:t>
            </w:r>
          </w:p>
          <w:p w14:paraId="2963BC55" w14:textId="78E4B5BD" w:rsidR="001F5E51" w:rsidRDefault="000E1EF8" w:rsidP="000E1EF8">
            <w:pPr>
              <w:pStyle w:val="MitBullets"/>
              <w:numPr>
                <w:ilvl w:val="0"/>
                <w:numId w:val="0"/>
              </w:numPr>
              <w:spacing w:before="20" w:after="20"/>
            </w:pPr>
            <w:r>
              <w:t>Ersthelfer:</w:t>
            </w:r>
            <w:r w:rsidRPr="00C70D91">
              <w:rPr>
                <w:b/>
                <w:color w:val="FF0000"/>
                <w:sz w:val="20"/>
              </w:rPr>
              <w:t xml:space="preserve"> vom Betrieb auszufüllen</w:t>
            </w:r>
          </w:p>
        </w:tc>
      </w:tr>
      <w:tr w:rsidR="000E1EF8" w14:paraId="444B503D" w14:textId="77777777" w:rsidTr="001F5E51">
        <w:tblPrEx>
          <w:tblBorders>
            <w:top w:val="single" w:sz="4" w:space="0" w:color="auto"/>
            <w:bottom w:val="single" w:sz="4" w:space="0" w:color="auto"/>
            <w:insideH w:val="none" w:sz="0" w:space="0" w:color="auto"/>
            <w:insideV w:val="none" w:sz="0" w:space="0" w:color="auto"/>
          </w:tblBorders>
        </w:tblPrEx>
        <w:tc>
          <w:tcPr>
            <w:tcW w:w="10205" w:type="dxa"/>
            <w:gridSpan w:val="5"/>
            <w:tcBorders>
              <w:top w:val="nil"/>
              <w:left w:val="nil"/>
              <w:bottom w:val="nil"/>
              <w:right w:val="nil"/>
            </w:tcBorders>
            <w:shd w:val="clear" w:color="auto" w:fill="FF0000"/>
          </w:tcPr>
          <w:p w14:paraId="23EC88DD" w14:textId="40A0CB88" w:rsidR="000E1EF8" w:rsidRDefault="000E1EF8" w:rsidP="000E1EF8">
            <w:pPr>
              <w:spacing w:before="40" w:after="40"/>
              <w:jc w:val="center"/>
              <w:rPr>
                <w:b/>
                <w:color w:val="FFFFFF"/>
                <w:sz w:val="24"/>
              </w:rPr>
            </w:pPr>
            <w:r>
              <w:rPr>
                <w:b/>
                <w:color w:val="FFFFFF"/>
                <w:sz w:val="24"/>
              </w:rPr>
              <w:t>SACHGERECHTE ENTSORGUNG</w:t>
            </w:r>
          </w:p>
        </w:tc>
      </w:tr>
      <w:tr w:rsidR="001F5E51" w14:paraId="0DECB13E" w14:textId="77777777" w:rsidTr="001F5E51">
        <w:tblPrEx>
          <w:tblBorders>
            <w:top w:val="single" w:sz="4" w:space="0" w:color="auto"/>
            <w:bottom w:val="single" w:sz="4" w:space="0" w:color="auto"/>
          </w:tblBorders>
        </w:tblPrEx>
        <w:tc>
          <w:tcPr>
            <w:tcW w:w="1191" w:type="dxa"/>
            <w:tcBorders>
              <w:top w:val="nil"/>
              <w:left w:val="nil"/>
              <w:bottom w:val="nil"/>
              <w:right w:val="nil"/>
            </w:tcBorders>
            <w:vAlign w:val="center"/>
          </w:tcPr>
          <w:p w14:paraId="185218B7" w14:textId="791D0EEA" w:rsidR="001F5E51" w:rsidRDefault="001F5E51" w:rsidP="001F5E51">
            <w:pPr>
              <w:spacing w:before="20" w:after="20"/>
              <w:ind w:left="40"/>
              <w:jc w:val="center"/>
              <w:rPr>
                <w:sz w:val="8"/>
              </w:rPr>
            </w:pPr>
            <w:bookmarkStart w:id="0" w:name="Temp"/>
            <w:bookmarkEnd w:id="0"/>
          </w:p>
        </w:tc>
        <w:tc>
          <w:tcPr>
            <w:tcW w:w="9014" w:type="dxa"/>
            <w:gridSpan w:val="4"/>
            <w:tcBorders>
              <w:top w:val="nil"/>
              <w:left w:val="nil"/>
              <w:bottom w:val="nil"/>
              <w:right w:val="nil"/>
            </w:tcBorders>
            <w:vAlign w:val="center"/>
          </w:tcPr>
          <w:p w14:paraId="208AF52E" w14:textId="4EE853C4" w:rsidR="001F5E51" w:rsidRDefault="000E1EF8" w:rsidP="000E1EF8">
            <w:pPr>
              <w:pStyle w:val="MitBullets"/>
              <w:numPr>
                <w:ilvl w:val="0"/>
                <w:numId w:val="0"/>
              </w:numPr>
              <w:spacing w:before="20" w:after="20"/>
            </w:pPr>
            <w:r w:rsidRPr="000E1EF8">
              <w:t>Mehlreste, leere Verpackungen und Reinigungsrückstände sind so zu behandeln, dass von ihnen keine neue Staubentwicklung ausgeht.</w:t>
            </w:r>
          </w:p>
        </w:tc>
      </w:tr>
    </w:tbl>
    <w:p w14:paraId="6312D7CA" w14:textId="529E7E13" w:rsidR="000E1EF8" w:rsidRDefault="00000000" w:rsidP="000E1EF8">
      <w:pPr>
        <w:spacing w:before="0"/>
        <w:rPr>
          <w:sz w:val="8"/>
        </w:rPr>
      </w:pPr>
      <w:r>
        <w:rPr>
          <w:b/>
          <w:noProof/>
          <w:color w:val="FFFFFF"/>
          <w:sz w:val="24"/>
        </w:rPr>
        <w:pict w14:anchorId="27968802">
          <v:shapetype id="_x0000_t202" coordsize="21600,21600" o:spt="202" path="m,l,21600r21600,l21600,xe">
            <v:stroke joinstyle="miter"/>
            <v:path gradientshapeok="t" o:connecttype="rect"/>
          </v:shapetype>
          <v:shape id="_x0000_s1029" type="#_x0000_t202" style="position:absolute;margin-left:11.5pt;margin-top:18.75pt;width:475.1pt;height:42.8pt;z-index:4;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9">
              <w:txbxContent>
                <w:tbl>
                  <w:tblPr>
                    <w:tblW w:w="11038" w:type="dxa"/>
                    <w:tblInd w:w="-38" w:type="dxa"/>
                    <w:tblLayout w:type="fixed"/>
                    <w:tblCellMar>
                      <w:left w:w="70" w:type="dxa"/>
                      <w:right w:w="70" w:type="dxa"/>
                    </w:tblCellMar>
                    <w:tblLook w:val="00A0" w:firstRow="1" w:lastRow="0" w:firstColumn="1" w:lastColumn="0" w:noHBand="0" w:noVBand="0"/>
                  </w:tblPr>
                  <w:tblGrid>
                    <w:gridCol w:w="5272"/>
                    <w:gridCol w:w="5766"/>
                  </w:tblGrid>
                  <w:tr w:rsidR="00AE233B" w14:paraId="0A4882DC" w14:textId="77777777" w:rsidTr="00CF7D0A">
                    <w:trPr>
                      <w:trHeight w:val="1222"/>
                    </w:trPr>
                    <w:tc>
                      <w:tcPr>
                        <w:tcW w:w="5220" w:type="dxa"/>
                      </w:tcPr>
                      <w:p w14:paraId="26938814" w14:textId="77777777" w:rsidR="00AE233B" w:rsidRPr="00D35BC0" w:rsidRDefault="00AE233B" w:rsidP="00D35BC0">
                        <w:pPr>
                          <w:pStyle w:val="StandardBA"/>
                          <w:ind w:left="142"/>
                          <w:rPr>
                            <w:sz w:val="20"/>
                            <w:szCs w:val="16"/>
                          </w:rPr>
                        </w:pPr>
                        <w:r w:rsidRPr="00D35BC0">
                          <w:rPr>
                            <w:sz w:val="20"/>
                            <w:szCs w:val="16"/>
                          </w:rPr>
                          <w:t>Freigabedatum:</w:t>
                        </w:r>
                      </w:p>
                      <w:p w14:paraId="04D834BF" w14:textId="77777777" w:rsidR="00AE233B" w:rsidRPr="00D35BC0" w:rsidRDefault="00AE233B" w:rsidP="00D35BC0">
                        <w:pPr>
                          <w:pStyle w:val="StandardBA"/>
                          <w:ind w:left="142"/>
                          <w:rPr>
                            <w:sz w:val="20"/>
                            <w:szCs w:val="16"/>
                          </w:rPr>
                        </w:pPr>
                        <w:r w:rsidRPr="00D35BC0">
                          <w:rPr>
                            <w:sz w:val="20"/>
                            <w:szCs w:val="16"/>
                          </w:rPr>
                          <w:t xml:space="preserve">Nächster Überprüfungstermin dieser </w:t>
                        </w:r>
                        <w:r>
                          <w:rPr>
                            <w:sz w:val="20"/>
                            <w:szCs w:val="16"/>
                          </w:rPr>
                          <w:br/>
                        </w:r>
                        <w:r w:rsidRPr="00D35BC0">
                          <w:rPr>
                            <w:sz w:val="20"/>
                            <w:szCs w:val="16"/>
                          </w:rPr>
                          <w:t>Betriebsanwe</w:t>
                        </w:r>
                        <w:r>
                          <w:rPr>
                            <w:sz w:val="20"/>
                            <w:szCs w:val="16"/>
                          </w:rPr>
                          <w:t>i</w:t>
                        </w:r>
                        <w:r w:rsidRPr="00D35BC0">
                          <w:rPr>
                            <w:sz w:val="20"/>
                            <w:szCs w:val="16"/>
                          </w:rPr>
                          <w:t>sung:</w:t>
                        </w:r>
                      </w:p>
                      <w:p w14:paraId="756C2FD1" w14:textId="77777777" w:rsidR="00AE233B" w:rsidRPr="00D35BC0" w:rsidRDefault="00AE233B" w:rsidP="00D35BC0">
                        <w:pPr>
                          <w:pStyle w:val="StandardBA"/>
                          <w:ind w:left="142"/>
                          <w:rPr>
                            <w:sz w:val="20"/>
                            <w:szCs w:val="16"/>
                          </w:rPr>
                        </w:pPr>
                      </w:p>
                    </w:tc>
                    <w:tc>
                      <w:tcPr>
                        <w:tcW w:w="5710" w:type="dxa"/>
                      </w:tcPr>
                      <w:p w14:paraId="52735A1D" w14:textId="77777777" w:rsidR="00AE233B" w:rsidRPr="00D35BC0" w:rsidRDefault="00AE233B" w:rsidP="00D35BC0">
                        <w:pPr>
                          <w:pStyle w:val="StandardBA"/>
                          <w:ind w:left="142"/>
                          <w:rPr>
                            <w:sz w:val="20"/>
                            <w:szCs w:val="16"/>
                          </w:rPr>
                        </w:pPr>
                      </w:p>
                      <w:p w14:paraId="2E54E7AC" w14:textId="77777777" w:rsidR="00AE233B" w:rsidRPr="00D35BC0" w:rsidRDefault="00AE233B" w:rsidP="00D35BC0">
                        <w:pPr>
                          <w:pStyle w:val="StandardBA"/>
                          <w:ind w:left="142"/>
                          <w:rPr>
                            <w:sz w:val="20"/>
                            <w:szCs w:val="16"/>
                          </w:rPr>
                        </w:pPr>
                        <w:r w:rsidRPr="00D35BC0">
                          <w:rPr>
                            <w:sz w:val="20"/>
                            <w:szCs w:val="16"/>
                          </w:rPr>
                          <w:t>Unterschrift:</w:t>
                        </w:r>
                        <w:r w:rsidRPr="00D35BC0">
                          <w:rPr>
                            <w:sz w:val="20"/>
                            <w:szCs w:val="16"/>
                          </w:rPr>
                          <w:br/>
                          <w:t>Geschäftsleitung/Vorgesetzte Person</w:t>
                        </w:r>
                      </w:p>
                    </w:tc>
                  </w:tr>
                </w:tbl>
                <w:p w14:paraId="1AD0EF71" w14:textId="77777777" w:rsidR="00AE233B" w:rsidRDefault="00AE233B" w:rsidP="00AE233B"/>
              </w:txbxContent>
            </v:textbox>
            <w10:wrap type="square"/>
          </v:shape>
        </w:pict>
      </w:r>
      <w:r>
        <w:rPr>
          <w:b/>
          <w:noProof/>
          <w:color w:val="FFFFFF"/>
          <w:sz w:val="24"/>
        </w:rPr>
        <w:pict w14:anchorId="0FADBECD">
          <v:rect id="_x0000_s1028" style="position:absolute;margin-left:-7.6pt;margin-top:3.4pt;width:512.2pt;height:6.35pt;z-index:3;mso-position-horizontal-relative:text;mso-position-vertical-relative:text" fillcolor="red" stroked="f"/>
        </w:pict>
      </w:r>
    </w:p>
    <w:sectPr w:rsidR="000E1EF8">
      <w:pgSz w:w="11906" w:h="16838" w:code="9"/>
      <w:pgMar w:top="794" w:right="85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D14"/>
    <w:multiLevelType w:val="singleLevel"/>
    <w:tmpl w:val="05F86E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ED7E3B"/>
    <w:multiLevelType w:val="singleLevel"/>
    <w:tmpl w:val="6B80ACBC"/>
    <w:lvl w:ilvl="0">
      <w:start w:val="1"/>
      <w:numFmt w:val="bullet"/>
      <w:pStyle w:val="MitBullets"/>
      <w:lvlText w:val=""/>
      <w:lvlJc w:val="left"/>
      <w:pPr>
        <w:tabs>
          <w:tab w:val="num" w:pos="360"/>
        </w:tabs>
        <w:ind w:left="360" w:hanging="360"/>
      </w:pPr>
      <w:rPr>
        <w:rFonts w:ascii="Symbol" w:hAnsi="Symbol" w:hint="default"/>
      </w:rPr>
    </w:lvl>
  </w:abstractNum>
  <w:abstractNum w:abstractNumId="2" w15:restartNumberingAfterBreak="0">
    <w:nsid w:val="36965391"/>
    <w:multiLevelType w:val="hybridMultilevel"/>
    <w:tmpl w:val="363E3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D243F"/>
    <w:multiLevelType w:val="hybridMultilevel"/>
    <w:tmpl w:val="DDFEDDC8"/>
    <w:lvl w:ilvl="0" w:tplc="2C9CA7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8546977">
    <w:abstractNumId w:val="0"/>
  </w:num>
  <w:num w:numId="2" w16cid:durableId="1385371832">
    <w:abstractNumId w:val="1"/>
  </w:num>
  <w:num w:numId="3" w16cid:durableId="1248464354">
    <w:abstractNumId w:val="2"/>
  </w:num>
  <w:num w:numId="4" w16cid:durableId="1022239913">
    <w:abstractNumId w:val="3"/>
  </w:num>
  <w:num w:numId="5" w16cid:durableId="777678977">
    <w:abstractNumId w:val="1"/>
  </w:num>
  <w:num w:numId="6" w16cid:durableId="87820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4"/>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C57"/>
    <w:rsid w:val="00037CC5"/>
    <w:rsid w:val="000E1EF8"/>
    <w:rsid w:val="001D167F"/>
    <w:rsid w:val="001E6286"/>
    <w:rsid w:val="001F5E51"/>
    <w:rsid w:val="00342C57"/>
    <w:rsid w:val="003F79DD"/>
    <w:rsid w:val="004976AF"/>
    <w:rsid w:val="004D21E5"/>
    <w:rsid w:val="00581C91"/>
    <w:rsid w:val="00694FF0"/>
    <w:rsid w:val="00AE233B"/>
    <w:rsid w:val="00B63B78"/>
    <w:rsid w:val="00B70259"/>
    <w:rsid w:val="00CF1201"/>
    <w:rsid w:val="00D67E35"/>
    <w:rsid w:val="00E407FB"/>
    <w:rsid w:val="00F33886"/>
    <w:rsid w:val="00F37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DCDBC69"/>
  <w15:chartTrackingRefBased/>
  <w15:docId w15:val="{AD665266-DDC8-40F4-B5D3-5ECB3619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pPr>
    <w:rPr>
      <w:rFonts w:ascii="Arial" w:hAnsi="Arial"/>
      <w:sz w:val="22"/>
    </w:rPr>
  </w:style>
  <w:style w:type="paragraph" w:styleId="berschrift1">
    <w:name w:val="heading 1"/>
    <w:basedOn w:val="Standard"/>
    <w:next w:val="Standard"/>
    <w:qFormat/>
    <w:pPr>
      <w:keepNext/>
      <w:jc w:val="right"/>
      <w:outlineLvl w:val="0"/>
    </w:pPr>
    <w:rPr>
      <w:b/>
      <w:color w:val="FFFFFF"/>
    </w:rPr>
  </w:style>
  <w:style w:type="paragraph" w:styleId="berschrift2">
    <w:name w:val="heading 2"/>
    <w:basedOn w:val="Standard"/>
    <w:next w:val="Standard"/>
    <w:qFormat/>
    <w:pPr>
      <w:keepNext/>
      <w:jc w:val="center"/>
      <w:outlineLvl w:val="1"/>
    </w:pPr>
    <w:rPr>
      <w:b/>
      <w:sz w:val="24"/>
    </w:rPr>
  </w:style>
  <w:style w:type="paragraph" w:styleId="berschrift3">
    <w:name w:val="heading 3"/>
    <w:basedOn w:val="Standard"/>
    <w:next w:val="Standard"/>
    <w:qFormat/>
    <w:pPr>
      <w:keepNext/>
      <w:spacing w:after="40"/>
      <w:jc w:val="center"/>
      <w:outlineLvl w:val="2"/>
    </w:pPr>
    <w:rPr>
      <w:b/>
      <w:color w:val="FFFFFF"/>
      <w:sz w:val="24"/>
    </w:rPr>
  </w:style>
  <w:style w:type="paragraph" w:styleId="berschrift4">
    <w:name w:val="heading 4"/>
    <w:basedOn w:val="Standard"/>
    <w:next w:val="Standard"/>
    <w:qFormat/>
    <w:pPr>
      <w:keepNext/>
      <w:jc w:val="right"/>
      <w:outlineLvl w:val="3"/>
    </w:pPr>
    <w:rPr>
      <w:b/>
      <w:sz w:val="24"/>
    </w:rPr>
  </w:style>
  <w:style w:type="paragraph" w:styleId="berschrift5">
    <w:name w:val="heading 5"/>
    <w:basedOn w:val="Standard"/>
    <w:next w:val="Standard"/>
    <w:qFormat/>
    <w:pPr>
      <w:keepNext/>
      <w:spacing w:before="300" w:after="40"/>
      <w:jc w:val="center"/>
      <w:outlineLvl w:val="4"/>
    </w:pPr>
    <w:rPr>
      <w:b/>
    </w:rPr>
  </w:style>
  <w:style w:type="paragraph" w:styleId="berschrift6">
    <w:name w:val="heading 6"/>
    <w:basedOn w:val="Standard"/>
    <w:next w:val="Standard"/>
    <w:qFormat/>
    <w:pPr>
      <w:keepNext/>
      <w:spacing w:after="20"/>
      <w:jc w:val="center"/>
      <w:outlineLvl w:val="5"/>
    </w:pPr>
    <w:rPr>
      <w:b/>
      <w:sz w:val="28"/>
    </w:rPr>
  </w:style>
  <w:style w:type="paragraph" w:styleId="berschrift7">
    <w:name w:val="heading 7"/>
    <w:basedOn w:val="Standard"/>
    <w:next w:val="Standard"/>
    <w:qFormat/>
    <w:pPr>
      <w:keepNext/>
      <w:tabs>
        <w:tab w:val="left" w:pos="3345"/>
      </w:tabs>
      <w:spacing w:before="20" w:after="20"/>
      <w:outlineLvl w:val="6"/>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A">
    <w:name w:val="Standard_BA"/>
    <w:rsid w:val="00AE233B"/>
    <w:rPr>
      <w:rFonts w:ascii="Arial" w:hAnsi="Arial"/>
      <w:sz w:val="24"/>
    </w:rPr>
  </w:style>
  <w:style w:type="paragraph" w:customStyle="1" w:styleId="MitBullets">
    <w:name w:val="MitBullets"/>
    <w:basedOn w:val="Standard"/>
    <w:pPr>
      <w:numPr>
        <w:numId w:val="2"/>
      </w:numPr>
      <w:tabs>
        <w:tab w:val="left" w:pos="170"/>
      </w:tabs>
    </w:pPr>
  </w:style>
  <w:style w:type="paragraph" w:customStyle="1" w:styleId="TitelNormal">
    <w:name w:val="TitelNormal"/>
    <w:basedOn w:val="Standard"/>
    <w:pPr>
      <w:spacing w:before="40" w:after="40"/>
      <w:jc w:val="center"/>
    </w:pPr>
    <w:rPr>
      <w:b/>
      <w:color w:val="FFFFFF"/>
      <w:sz w:val="24"/>
    </w:rPr>
  </w:style>
  <w:style w:type="paragraph" w:customStyle="1" w:styleId="TitelNotruf">
    <w:name w:val="TitelNotruf"/>
    <w:basedOn w:val="Standard"/>
    <w:pPr>
      <w:shd w:val="clear" w:color="auto" w:fill="FFFFFF"/>
      <w:spacing w:before="40"/>
      <w:jc w:val="center"/>
    </w:pPr>
    <w:rPr>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Betran3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Betran32.Dot</Template>
  <TotalTime>0</TotalTime>
  <Pages>1</Pages>
  <Words>336</Words>
  <Characters>2124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Mann's EDV Service</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User</dc:creator>
  <cp:keywords>-</cp:keywords>
  <cp:lastModifiedBy>Hartmann, Markus</cp:lastModifiedBy>
  <cp:revision>3</cp:revision>
  <cp:lastPrinted>1999-07-15T11:13:00Z</cp:lastPrinted>
  <dcterms:created xsi:type="dcterms:W3CDTF">2023-08-01T11:31:00Z</dcterms:created>
  <dcterms:modified xsi:type="dcterms:W3CDTF">2023-08-01T11:35:00Z</dcterms:modified>
</cp:coreProperties>
</file>