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CE22" w14:textId="1AC6AB18" w:rsidR="00E407FB" w:rsidRDefault="0054031A" w:rsidP="00AA1D4F">
      <w:pPr>
        <w:bidi/>
        <w:spacing w:before="0"/>
        <w:rPr>
          <w:sz w:val="8"/>
          <w:rtl/>
        </w:rPr>
      </w:pPr>
      <w:r>
        <w:rPr>
          <w:sz w:val="8"/>
          <w:rtl/>
        </w:rPr>
        <w:pict w14:anchorId="72CC0A76">
          <v:rect id="_x0000_s1026" style="position:absolute;left:0;text-align:left;margin-left:.65pt;margin-top:-34.2pt;width:513.7pt;height:748pt;z-index:251656192" o:allowincell="f" filled="f" strokecolor="red" strokeweight="6pt"/>
        </w:pict>
      </w:r>
    </w:p>
    <w:tbl>
      <w:tblPr>
        <w:bidiVisual/>
        <w:tblW w:w="0" w:type="auto"/>
        <w:tblInd w:w="-1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"/>
        <w:gridCol w:w="1171"/>
        <w:gridCol w:w="227"/>
        <w:gridCol w:w="7386"/>
        <w:gridCol w:w="228"/>
        <w:gridCol w:w="1194"/>
        <w:gridCol w:w="24"/>
      </w:tblGrid>
      <w:tr w:rsidR="00E407FB" w14:paraId="6FE23295" w14:textId="77777777" w:rsidTr="00322A3E">
        <w:trPr>
          <w:gridAfter w:val="1"/>
          <w:wAfter w:w="22" w:type="dxa"/>
          <w:trHeight w:val="1266"/>
        </w:trPr>
        <w:tc>
          <w:tcPr>
            <w:tcW w:w="1420" w:type="dxa"/>
            <w:gridSpan w:val="3"/>
            <w:tcBorders>
              <w:bottom w:val="nil"/>
            </w:tcBorders>
          </w:tcPr>
          <w:p w14:paraId="28B5A9B2" w14:textId="1063CBAC" w:rsidR="00E407FB" w:rsidRDefault="00E407FB" w:rsidP="00AA1D4F">
            <w:pPr>
              <w:pStyle w:val="berschrift5"/>
              <w:bidi/>
            </w:pPr>
          </w:p>
        </w:tc>
        <w:tc>
          <w:tcPr>
            <w:tcW w:w="7386" w:type="dxa"/>
            <w:tcBorders>
              <w:bottom w:val="nil"/>
            </w:tcBorders>
          </w:tcPr>
          <w:p w14:paraId="5C3BE61B" w14:textId="77777777" w:rsidR="00E407FB" w:rsidRDefault="00E407FB" w:rsidP="00AA1D4F">
            <w:pPr>
              <w:bidi/>
              <w:spacing w:before="40" w:after="40"/>
              <w:jc w:val="center"/>
              <w:rPr>
                <w:b/>
                <w:color w:val="000000"/>
                <w:sz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تعليمات التشغيل</w:t>
            </w:r>
          </w:p>
          <w:p w14:paraId="00F78EDA" w14:textId="77777777" w:rsidR="00E407FB" w:rsidRDefault="00E407FB" w:rsidP="00AA1D4F">
            <w:pPr>
              <w:bidi/>
              <w:spacing w:before="0" w:after="40"/>
              <w:jc w:val="center"/>
              <w:rPr>
                <w:color w:val="000000"/>
                <w:sz w:val="20"/>
                <w:rtl/>
              </w:rPr>
            </w:pPr>
            <w:r>
              <w:rPr>
                <w:rFonts w:hint="cs"/>
                <w:color w:val="000000"/>
                <w:sz w:val="20"/>
                <w:rtl/>
              </w:rPr>
              <w:t>وفق المادة 14 من لائحة المواد الخطرة</w:t>
            </w:r>
          </w:p>
          <w:p w14:paraId="342FEA08" w14:textId="77777777" w:rsidR="00E407FB" w:rsidRDefault="00E407FB" w:rsidP="00AA1D4F">
            <w:pPr>
              <w:shd w:val="pct10" w:color="auto" w:fill="FFFFFF"/>
              <w:bidi/>
              <w:spacing w:before="40" w:after="40"/>
              <w:jc w:val="center"/>
              <w:rPr>
                <w:b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نطاق الاستخدام والأنشطة</w:t>
            </w:r>
          </w:p>
          <w:p w14:paraId="2D320E86" w14:textId="74E398FC" w:rsidR="00E407FB" w:rsidRPr="000722F1" w:rsidRDefault="004976AF" w:rsidP="00AA1D4F">
            <w:pPr>
              <w:shd w:val="pct10" w:color="auto" w:fill="FFFFFF"/>
              <w:bidi/>
              <w:spacing w:before="40" w:after="40"/>
              <w:jc w:val="center"/>
              <w:rPr>
                <w:b/>
                <w:bCs/>
                <w:color w:val="000000"/>
                <w:sz w:val="20"/>
                <w:rtl/>
              </w:rPr>
            </w:pPr>
            <w:r w:rsidRPr="000722F1">
              <w:rPr>
                <w:rFonts w:hint="cs"/>
                <w:b/>
                <w:bCs/>
                <w:color w:val="000000"/>
                <w:sz w:val="20"/>
                <w:rtl/>
              </w:rPr>
              <w:t>الأعمال بالدقيق</w:t>
            </w:r>
          </w:p>
        </w:tc>
        <w:tc>
          <w:tcPr>
            <w:tcW w:w="1422" w:type="dxa"/>
            <w:gridSpan w:val="2"/>
            <w:tcBorders>
              <w:bottom w:val="nil"/>
            </w:tcBorders>
          </w:tcPr>
          <w:p w14:paraId="7463F2F2" w14:textId="24C8D6D5" w:rsidR="00E407FB" w:rsidRDefault="00E407FB" w:rsidP="00AA1D4F">
            <w:pPr>
              <w:bidi/>
              <w:spacing w:before="40" w:after="40"/>
              <w:jc w:val="center"/>
              <w:rPr>
                <w:b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إصدار 07/2023</w:t>
            </w:r>
          </w:p>
          <w:p w14:paraId="396C2251" w14:textId="77777777" w:rsidR="00E407FB" w:rsidRDefault="00E407FB" w:rsidP="00AA1D4F">
            <w:pPr>
              <w:bidi/>
              <w:spacing w:before="360"/>
              <w:jc w:val="center"/>
              <w:rPr>
                <w:sz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______________</w:t>
            </w:r>
          </w:p>
          <w:p w14:paraId="046D4AFB" w14:textId="77777777" w:rsidR="00E407FB" w:rsidRDefault="00E407FB" w:rsidP="00AA1D4F">
            <w:pPr>
              <w:bidi/>
              <w:spacing w:before="0"/>
              <w:jc w:val="center"/>
              <w:rPr>
                <w:sz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الإصدار:</w:t>
            </w:r>
          </w:p>
        </w:tc>
      </w:tr>
      <w:tr w:rsidR="00E407FB" w14:paraId="58A5AEC0" w14:textId="77777777" w:rsidTr="00322A3E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2" w:type="dxa"/>
          <w:trHeight w:val="365"/>
        </w:trPr>
        <w:tc>
          <w:tcPr>
            <w:tcW w:w="10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BB6F32" w14:textId="77777777" w:rsidR="00E407FB" w:rsidRDefault="00E407FB" w:rsidP="00AA1D4F">
            <w:pPr>
              <w:bidi/>
              <w:spacing w:before="40" w:after="40"/>
              <w:jc w:val="center"/>
              <w:rPr>
                <w:b/>
                <w:color w:val="FFFFFF"/>
                <w:sz w:val="24"/>
                <w:rtl/>
              </w:rPr>
            </w:pPr>
            <w:r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اسم المادة الخطرة</w:t>
            </w:r>
          </w:p>
        </w:tc>
      </w:tr>
      <w:tr w:rsidR="00E407FB" w14:paraId="21BD04C3" w14:textId="77777777" w:rsidTr="00322A3E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22" w:type="dxa"/>
          <w:trHeight w:val="645"/>
        </w:trPr>
        <w:tc>
          <w:tcPr>
            <w:tcW w:w="102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C9168" w14:textId="77777777" w:rsidR="001F5E51" w:rsidRPr="000E1EF8" w:rsidRDefault="001F5E51" w:rsidP="00AA1D4F">
            <w:pPr>
              <w:pStyle w:val="berschrift6"/>
              <w:bidi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المواد المسببة لحساسية الجهاز التنفسي في مصانع المخبوزات</w:t>
            </w:r>
            <w:r>
              <w:rPr>
                <w:rFonts w:hint="cs"/>
                <w:rtl/>
              </w:rPr>
              <w:t xml:space="preserve"> </w:t>
            </w:r>
          </w:p>
          <w:p w14:paraId="63A73C31" w14:textId="43EE94CE" w:rsidR="00E407FB" w:rsidRPr="000E1EF8" w:rsidRDefault="001F5E51" w:rsidP="00AA1D4F">
            <w:pPr>
              <w:pStyle w:val="berschrift6"/>
              <w:bidi/>
              <w:rPr>
                <w:sz w:val="20"/>
                <w:rtl/>
              </w:rPr>
            </w:pPr>
            <w:r>
              <w:rPr>
                <w:rFonts w:hint="cs"/>
                <w:b w:val="0"/>
                <w:sz w:val="20"/>
                <w:rtl/>
              </w:rPr>
              <w:t>(غبار الدقيق، غبار محسنات الخبز)</w:t>
            </w:r>
          </w:p>
        </w:tc>
      </w:tr>
      <w:tr w:rsidR="00E407FB" w14:paraId="37F71241" w14:textId="77777777" w:rsidTr="00322A3E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2" w:type="dxa"/>
          <w:trHeight w:val="365"/>
        </w:trPr>
        <w:tc>
          <w:tcPr>
            <w:tcW w:w="10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6C61F6" w14:textId="77777777" w:rsidR="00E407FB" w:rsidRDefault="00E407FB" w:rsidP="00AA1D4F">
            <w:pPr>
              <w:bidi/>
              <w:spacing w:before="40" w:after="40"/>
              <w:jc w:val="center"/>
              <w:rPr>
                <w:b/>
                <w:color w:val="FFFFFF"/>
                <w:sz w:val="24"/>
                <w:rtl/>
              </w:rPr>
            </w:pPr>
            <w:r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مخاطر على الإنسان والبيئة</w:t>
            </w:r>
          </w:p>
        </w:tc>
      </w:tr>
      <w:tr w:rsidR="001F5E51" w14:paraId="6187C38D" w14:textId="77777777" w:rsidTr="00322A3E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3" w:type="dxa"/>
          <w:cantSplit/>
          <w:trHeight w:val="292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41312" w14:textId="54C40E86" w:rsidR="001F5E51" w:rsidRDefault="001F5E51" w:rsidP="00AA1D4F">
            <w:pPr>
              <w:bidi/>
              <w:spacing w:before="20" w:after="20"/>
              <w:ind w:left="40"/>
              <w:jc w:val="center"/>
              <w:rPr>
                <w:sz w:val="8"/>
              </w:rPr>
            </w:pPr>
          </w:p>
        </w:tc>
        <w:tc>
          <w:tcPr>
            <w:tcW w:w="90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45BF0" w14:textId="7137F1F3" w:rsidR="001F5E51" w:rsidRPr="000E1EF8" w:rsidRDefault="001F5E51" w:rsidP="00AA1D4F">
            <w:pPr>
              <w:pStyle w:val="MitBullets"/>
              <w:numPr>
                <w:ilvl w:val="0"/>
                <w:numId w:val="0"/>
              </w:numPr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يمكن أن يؤدي غبار الدقيق وغبار محسنات الخبز إلى التحسس وإثارة التهاب الأنف التحسسي والربو (المرض المهني رقم 4301).</w:t>
            </w:r>
          </w:p>
        </w:tc>
      </w:tr>
      <w:tr w:rsidR="001F5E51" w14:paraId="519C6EEB" w14:textId="77777777" w:rsidTr="00322A3E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2" w:type="dxa"/>
          <w:trHeight w:val="402"/>
        </w:trPr>
        <w:tc>
          <w:tcPr>
            <w:tcW w:w="10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65EF5C" w14:textId="78661F08" w:rsidR="001F5E51" w:rsidRPr="00322A3E" w:rsidRDefault="00322A3E" w:rsidP="00AA1D4F">
            <w:pPr>
              <w:bidi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إجراءات السلامة وقواعد السلوك</w:t>
            </w:r>
          </w:p>
        </w:tc>
      </w:tr>
      <w:tr w:rsidR="001F5E51" w14:paraId="7B6532CE" w14:textId="77777777" w:rsidTr="00322A3E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5128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806AF" w14:textId="75337BA0" w:rsidR="001F5E51" w:rsidRDefault="001F5E51" w:rsidP="00AA1D4F">
            <w:pPr>
              <w:bidi/>
              <w:spacing w:before="20" w:after="20"/>
              <w:jc w:val="center"/>
              <w:rPr>
                <w:sz w:val="8"/>
              </w:rPr>
            </w:pPr>
          </w:p>
        </w:tc>
        <w:tc>
          <w:tcPr>
            <w:tcW w:w="7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59A7E" w14:textId="688DBABE" w:rsidR="001F5E51" w:rsidRPr="000E1EF8" w:rsidRDefault="001F5E51" w:rsidP="00AA1D4F">
            <w:pPr>
              <w:pStyle w:val="MitBullets"/>
              <w:numPr>
                <w:ilvl w:val="0"/>
                <w:numId w:val="0"/>
              </w:numPr>
              <w:bidi/>
              <w:spacing w:before="20" w:after="20"/>
              <w:ind w:left="170" w:hanging="17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وبشكل عام، يجب تجنب الأتربة المسببة للحساسية الموجودة في الهواء الذي </w:t>
            </w:r>
            <w:r w:rsidR="000722F1">
              <w:rPr>
                <w:rFonts w:hint="cs"/>
                <w:sz w:val="20"/>
                <w:rtl/>
              </w:rPr>
              <w:t>نتنفس</w:t>
            </w:r>
            <w:r>
              <w:rPr>
                <w:rFonts w:hint="cs"/>
                <w:sz w:val="20"/>
                <w:rtl/>
              </w:rPr>
              <w:t>!</w:t>
            </w:r>
          </w:p>
          <w:p w14:paraId="1D34ADEA" w14:textId="77777777" w:rsidR="001F5E51" w:rsidRPr="000E1EF8" w:rsidRDefault="001F5E51" w:rsidP="00AA1D4F">
            <w:pPr>
              <w:pStyle w:val="MitBullets"/>
              <w:numPr>
                <w:ilvl w:val="0"/>
                <w:numId w:val="0"/>
              </w:numPr>
              <w:bidi/>
              <w:spacing w:before="20" w:after="20"/>
              <w:ind w:left="170" w:hanging="170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الاستعمال</w:t>
            </w:r>
          </w:p>
          <w:p w14:paraId="0900B132" w14:textId="77777777" w:rsidR="001F5E51" w:rsidRPr="000E1EF8" w:rsidRDefault="001F5E51" w:rsidP="00AA1D4F">
            <w:pPr>
              <w:pStyle w:val="MitBullets"/>
              <w:numPr>
                <w:ilvl w:val="0"/>
                <w:numId w:val="0"/>
              </w:numPr>
              <w:bidi/>
              <w:spacing w:before="20" w:after="20"/>
              <w:ind w:left="170" w:hanging="17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يمكن تحقيق هذا من خلال ما يلي:</w:t>
            </w:r>
          </w:p>
          <w:p w14:paraId="7A9A6DB4" w14:textId="52F01952" w:rsidR="001F5E51" w:rsidRPr="000E1EF8" w:rsidRDefault="001F5E51" w:rsidP="00AA1D4F">
            <w:pPr>
              <w:pStyle w:val="MitBullets"/>
              <w:numPr>
                <w:ilvl w:val="0"/>
                <w:numId w:val="3"/>
              </w:numPr>
              <w:bidi/>
              <w:spacing w:before="20" w:after="20"/>
              <w:ind w:hanging="72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استخدام ممارسات العمل منخفضة الغبار أثناء عمليات التعبئة</w:t>
            </w:r>
          </w:p>
          <w:p w14:paraId="116F887B" w14:textId="088E4128" w:rsidR="001F5E51" w:rsidRPr="000E1EF8" w:rsidRDefault="001F5E51" w:rsidP="00AA1D4F">
            <w:pPr>
              <w:pStyle w:val="MitBullets"/>
              <w:numPr>
                <w:ilvl w:val="0"/>
                <w:numId w:val="4"/>
              </w:numPr>
              <w:bidi/>
              <w:spacing w:before="20" w:after="2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التعامل مع البضاعة المعبأة في أكياس: استخدم طريقة الشق المزدوج إن أمكن. يجب حمل الأكياس وإفراغها بعمق قدر الإمكان في الحاويات المراد تعبئتها، مع مراعاة الجوانب المريحة لبيئة العمل.</w:t>
            </w:r>
          </w:p>
          <w:p w14:paraId="7ED39459" w14:textId="5CB5A815" w:rsidR="001F5E51" w:rsidRPr="000E1EF8" w:rsidRDefault="001F5E51" w:rsidP="00AA1D4F">
            <w:pPr>
              <w:pStyle w:val="MitBullets"/>
              <w:numPr>
                <w:ilvl w:val="0"/>
                <w:numId w:val="4"/>
              </w:numPr>
              <w:bidi/>
              <w:spacing w:before="20" w:after="2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أخذ الدقيق من ميزان الصومعة: ملء خرطوم يصل إلى أقصى حد ممكن على الأرض أو تقليل الطاقة المتساقطة من خلال توجيه الخرطوم باليد بمهارة.</w:t>
            </w:r>
          </w:p>
          <w:p w14:paraId="15EF06FB" w14:textId="63B95A92" w:rsidR="001F5E51" w:rsidRPr="000E1EF8" w:rsidRDefault="001F5E51" w:rsidP="00AA1D4F">
            <w:pPr>
              <w:pStyle w:val="MitBullets"/>
              <w:numPr>
                <w:ilvl w:val="0"/>
                <w:numId w:val="4"/>
              </w:numPr>
              <w:bidi/>
              <w:spacing w:before="20" w:after="2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استخدام محسنات الخبز المُحببة أو الفطيرة أو السائلة.</w:t>
            </w:r>
          </w:p>
          <w:p w14:paraId="0DEB8D59" w14:textId="157C79B9" w:rsidR="001F5E51" w:rsidRPr="000E1EF8" w:rsidRDefault="001F5E51" w:rsidP="00AA1D4F">
            <w:pPr>
              <w:pStyle w:val="MitBullets"/>
              <w:numPr>
                <w:ilvl w:val="0"/>
                <w:numId w:val="4"/>
              </w:numPr>
              <w:bidi/>
              <w:spacing w:before="20" w:after="2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قم بتغطية آلات العجن بغطاء محكم.</w:t>
            </w:r>
          </w:p>
          <w:p w14:paraId="209A51B9" w14:textId="4311049E" w:rsidR="001F5E51" w:rsidRPr="000E1EF8" w:rsidRDefault="001F5E51" w:rsidP="00AA1D4F">
            <w:pPr>
              <w:pStyle w:val="MitBullets"/>
              <w:numPr>
                <w:ilvl w:val="0"/>
                <w:numId w:val="3"/>
              </w:numPr>
              <w:bidi/>
              <w:spacing w:before="20" w:after="20"/>
              <w:ind w:hanging="72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استخدام ممارسات العمل قليلة الغبار عند تحضير العجين</w:t>
            </w:r>
          </w:p>
          <w:p w14:paraId="5B3DD722" w14:textId="1A050963" w:rsidR="001F5E51" w:rsidRPr="000E1EF8" w:rsidRDefault="001F5E51" w:rsidP="00AA1D4F">
            <w:pPr>
              <w:pStyle w:val="MitBullets"/>
              <w:numPr>
                <w:ilvl w:val="0"/>
                <w:numId w:val="4"/>
              </w:numPr>
              <w:bidi/>
              <w:spacing w:before="20" w:after="2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تجنب إلقاء الدقيق المفصول باليد، وبدلاً من ذلك قم بفركه أو وضعه بالمنخل.</w:t>
            </w:r>
          </w:p>
          <w:p w14:paraId="6E7324A4" w14:textId="06711E2B" w:rsidR="001F5E51" w:rsidRPr="000E1EF8" w:rsidRDefault="001F5E51" w:rsidP="00AA1D4F">
            <w:pPr>
              <w:pStyle w:val="MitBullets"/>
              <w:numPr>
                <w:ilvl w:val="0"/>
                <w:numId w:val="4"/>
              </w:numPr>
              <w:bidi/>
              <w:spacing w:before="20" w:after="2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استخدام دقيق فصل قليل الغبار (مثل دقيق الفصل قليل الغبار، أبخرة القمح، سميد القمح القاسي) أو فصل الزيوت.</w:t>
            </w:r>
          </w:p>
          <w:p w14:paraId="525199FE" w14:textId="56B16DAA" w:rsidR="001F5E51" w:rsidRPr="000E1EF8" w:rsidRDefault="001F5E51" w:rsidP="00AA1D4F">
            <w:pPr>
              <w:pStyle w:val="MitBullets"/>
              <w:bidi/>
              <w:spacing w:before="20" w:after="20"/>
              <w:ind w:left="170" w:hanging="17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استخدام عمليات التنظيف منخفضة الغبار</w:t>
            </w:r>
          </w:p>
          <w:p w14:paraId="1F8D8D34" w14:textId="6FBFC0E6" w:rsidR="001F5E51" w:rsidRPr="000E1EF8" w:rsidRDefault="001F5E51" w:rsidP="00AA1D4F">
            <w:pPr>
              <w:pStyle w:val="MitBullets"/>
              <w:numPr>
                <w:ilvl w:val="0"/>
                <w:numId w:val="4"/>
              </w:numPr>
              <w:bidi/>
              <w:spacing w:before="20" w:after="2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المقشط، المكانس الكهربائية المعتمدة، التنظيف الرطب.</w:t>
            </w:r>
          </w:p>
          <w:p w14:paraId="146EB4E6" w14:textId="77777777" w:rsidR="001F5E51" w:rsidRPr="000E1EF8" w:rsidRDefault="001F5E51" w:rsidP="00AA1D4F">
            <w:pPr>
              <w:pStyle w:val="MitBullets"/>
              <w:numPr>
                <w:ilvl w:val="0"/>
                <w:numId w:val="0"/>
              </w:numPr>
              <w:bidi/>
              <w:spacing w:before="20" w:after="2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يُحظر تنظيف الآلات والأرضيات بالهواء المضغوط!</w:t>
            </w:r>
          </w:p>
          <w:p w14:paraId="761E8716" w14:textId="77777777" w:rsidR="001F5E51" w:rsidRPr="000E1EF8" w:rsidRDefault="001F5E51" w:rsidP="00AA1D4F">
            <w:pPr>
              <w:pStyle w:val="MitBullets"/>
              <w:numPr>
                <w:ilvl w:val="0"/>
                <w:numId w:val="0"/>
              </w:numPr>
              <w:bidi/>
              <w:spacing w:before="20" w:after="20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الحفظ والتخزين</w:t>
            </w:r>
          </w:p>
          <w:p w14:paraId="6DB97217" w14:textId="0C31454A" w:rsidR="001F5E51" w:rsidRPr="000E1EF8" w:rsidRDefault="001F5E51" w:rsidP="00AA1D4F">
            <w:pPr>
              <w:pStyle w:val="MitBullets"/>
              <w:numPr>
                <w:ilvl w:val="0"/>
                <w:numId w:val="0"/>
              </w:numPr>
              <w:bidi/>
              <w:spacing w:before="20" w:after="20"/>
              <w:ind w:left="170" w:hanging="17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يجب الإبقاء على الحاوية مغلقة بإحكام قدر الإمكان.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AC5DA" w14:textId="531AA222" w:rsidR="001F5E51" w:rsidRDefault="001F5E51" w:rsidP="00AA1D4F">
            <w:pPr>
              <w:bidi/>
              <w:spacing w:before="20" w:after="20"/>
              <w:ind w:left="-57"/>
              <w:jc w:val="center"/>
              <w:rPr>
                <w:sz w:val="8"/>
              </w:rPr>
            </w:pPr>
          </w:p>
        </w:tc>
      </w:tr>
      <w:tr w:rsidR="001F5E51" w14:paraId="60D034E6" w14:textId="77777777" w:rsidTr="00322A3E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2" w:type="dxa"/>
          <w:trHeight w:val="365"/>
        </w:trPr>
        <w:tc>
          <w:tcPr>
            <w:tcW w:w="10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5AF75A" w14:textId="77777777" w:rsidR="001F5E51" w:rsidRDefault="001F5E51" w:rsidP="00AA1D4F">
            <w:pPr>
              <w:bidi/>
              <w:spacing w:before="40" w:after="40"/>
              <w:ind w:left="360"/>
              <w:jc w:val="center"/>
              <w:rPr>
                <w:b/>
                <w:color w:val="FFFFFF"/>
                <w:sz w:val="24"/>
                <w:rtl/>
              </w:rPr>
            </w:pPr>
            <w:r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التصرف في حالة الخطر</w:t>
            </w:r>
          </w:p>
        </w:tc>
      </w:tr>
      <w:tr w:rsidR="001F5E51" w14:paraId="0227000D" w14:textId="77777777" w:rsidTr="00322A3E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22" w:type="dxa"/>
          <w:cantSplit/>
          <w:trHeight w:val="1096"/>
        </w:trPr>
        <w:tc>
          <w:tcPr>
            <w:tcW w:w="102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EB0AE" w14:textId="08C9DE24" w:rsidR="001F5E51" w:rsidRDefault="0054031A" w:rsidP="00AA1D4F">
            <w:pPr>
              <w:pStyle w:val="MitBullets"/>
              <w:numPr>
                <w:ilvl w:val="0"/>
                <w:numId w:val="0"/>
              </w:numPr>
              <w:bidi/>
              <w:spacing w:before="20" w:after="20"/>
              <w:ind w:left="1134"/>
              <w:rPr>
                <w:rtl/>
              </w:rPr>
            </w:pPr>
            <w:r>
              <w:rPr>
                <w:rtl/>
              </w:rPr>
              <w:pict w14:anchorId="461B5F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7" type="#_x0000_t75" alt="Ein Bild, das Zeichnung enthält.&#10;&#10;Automatisch generierte Beschreibung" style="position:absolute;left:0;text-align:left;margin-left:450.25pt;margin-top:1.8pt;width:52.35pt;height:52.35pt;z-index:251657216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        <v:imagedata r:id="rId7" o:title="Ein Bild, das Zeichnung enthält"/>
                  <w10:wrap type="square" anchorx="margin" anchory="margin"/>
                </v:shape>
              </w:pict>
            </w:r>
            <w:r w:rsidR="006809B2">
              <w:rPr>
                <w:rFonts w:hint="cs"/>
                <w:rtl/>
              </w:rPr>
              <w:t xml:space="preserve">يجب ارتداء معدات الحماية الشخصية عند القيام بأعمال كثيفة الغبار (مثل تنظيف صوامع الدقيق، وأجهزة الشفط). يجب استخدام أقنعة نصفية لتصفية الجسيمات، بمستوى </w:t>
            </w:r>
            <w:r w:rsidR="006809B2">
              <w:t>FFP2</w:t>
            </w:r>
            <w:r w:rsidR="006809B2">
              <w:rPr>
                <w:rFonts w:hint="cs"/>
                <w:rtl/>
              </w:rPr>
              <w:t xml:space="preserve"> على الأقل. عند الاختيار، يجب توخي الحذر للتأكد من أن مقاومة التنفس منخفضة قدر الإمكان (على سبيل المثال الدعم من خلال صمام الزفير).</w:t>
            </w:r>
          </w:p>
          <w:p w14:paraId="6ABA24E9" w14:textId="0D0D1856" w:rsidR="001F5E51" w:rsidRDefault="001F5E51" w:rsidP="00AA1D4F">
            <w:pPr>
              <w:pStyle w:val="MitBullets"/>
              <w:numPr>
                <w:ilvl w:val="0"/>
                <w:numId w:val="0"/>
              </w:numPr>
              <w:bidi/>
              <w:spacing w:before="20" w:after="20"/>
              <w:ind w:left="1134"/>
              <w:rPr>
                <w:rtl/>
              </w:rPr>
            </w:pPr>
            <w:r>
              <w:rPr>
                <w:rFonts w:hint="cs"/>
                <w:rtl/>
              </w:rPr>
              <w:t xml:space="preserve">هاتف الحوادث: </w:t>
            </w:r>
            <w:r>
              <w:rPr>
                <w:rFonts w:hint="cs"/>
                <w:b/>
                <w:bCs/>
                <w:color w:val="FF0000"/>
                <w:sz w:val="20"/>
                <w:rtl/>
              </w:rPr>
              <w:t>يتم ملئه من قبل الشركة</w:t>
            </w:r>
          </w:p>
        </w:tc>
      </w:tr>
      <w:tr w:rsidR="001F5E51" w14:paraId="15E67882" w14:textId="77777777" w:rsidTr="00322A3E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2" w:type="dxa"/>
          <w:trHeight w:val="365"/>
        </w:trPr>
        <w:tc>
          <w:tcPr>
            <w:tcW w:w="10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399A70" w14:textId="77777777" w:rsidR="001F5E51" w:rsidRDefault="001F5E51" w:rsidP="00AA1D4F">
            <w:pPr>
              <w:bidi/>
              <w:spacing w:before="40" w:after="40"/>
              <w:jc w:val="center"/>
              <w:rPr>
                <w:b/>
                <w:color w:val="FFFFFF"/>
                <w:sz w:val="24"/>
                <w:rtl/>
              </w:rPr>
            </w:pPr>
            <w:r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الإسعافات الأولية</w:t>
            </w:r>
          </w:p>
        </w:tc>
      </w:tr>
      <w:tr w:rsidR="001F5E51" w14:paraId="723CDCB9" w14:textId="77777777" w:rsidTr="00322A3E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3" w:type="dxa"/>
          <w:trHeight w:val="1108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9D816" w14:textId="77777777" w:rsidR="001F5E51" w:rsidRDefault="0054031A" w:rsidP="00AA1D4F">
            <w:pPr>
              <w:bidi/>
              <w:spacing w:before="20" w:after="20"/>
              <w:ind w:left="40"/>
              <w:jc w:val="center"/>
              <w:rPr>
                <w:sz w:val="8"/>
                <w:rtl/>
              </w:rPr>
            </w:pPr>
            <w:r>
              <w:rPr>
                <w:sz w:val="8"/>
              </w:rPr>
              <w:pict w14:anchorId="75E49815">
                <v:shape id="_x0000_i1025" type="#_x0000_t75" style="width:52.8pt;height:52.8pt" fillcolor="window">
                  <v:imagedata r:id="rId8" o:title="ERHI_008"/>
                </v:shape>
              </w:pict>
            </w:r>
          </w:p>
        </w:tc>
        <w:tc>
          <w:tcPr>
            <w:tcW w:w="90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03DE" w14:textId="1F70B05C" w:rsidR="000E1EF8" w:rsidRDefault="000E1EF8" w:rsidP="00AA1D4F">
            <w:pPr>
              <w:pStyle w:val="MitBullets"/>
              <w:numPr>
                <w:ilvl w:val="0"/>
                <w:numId w:val="0"/>
              </w:numPr>
              <w:bidi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 xml:space="preserve">إذا كنت تعاني من صعوبة في التنفس، فاترك المكان وابتعد عن التعرض للمزيد الغبار (بما في ذلك ملابس العمل المتسخة)، وقم بتهدئة المصابين، وقم بتخفيف الملابس أو </w:t>
            </w:r>
            <w:r w:rsidR="000722F1">
              <w:rPr>
                <w:rFonts w:hint="cs"/>
                <w:rtl/>
              </w:rPr>
              <w:t>انزعها</w:t>
            </w:r>
            <w:r>
              <w:rPr>
                <w:rFonts w:hint="cs"/>
                <w:rtl/>
              </w:rPr>
              <w:t xml:space="preserve"> إذا لزم الأمر. توجه إلى الطبيب. إذا كنت تعاني من ضيق شديد في التنفس، اتصل بخدمة الإنقاذ/طبيب الطوارئ.</w:t>
            </w:r>
          </w:p>
          <w:p w14:paraId="2963BC55" w14:textId="78E4B5BD" w:rsidR="001F5E51" w:rsidRDefault="000E1EF8" w:rsidP="00AA1D4F">
            <w:pPr>
              <w:pStyle w:val="MitBullets"/>
              <w:numPr>
                <w:ilvl w:val="0"/>
                <w:numId w:val="0"/>
              </w:numPr>
              <w:bidi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 xml:space="preserve">هاتف المُسعف الأولي: </w:t>
            </w:r>
            <w:r>
              <w:rPr>
                <w:rFonts w:hint="cs"/>
                <w:b/>
                <w:bCs/>
                <w:color w:val="FF0000"/>
                <w:sz w:val="20"/>
                <w:rtl/>
              </w:rPr>
              <w:t>يتم ملئه من قبل الشركة</w:t>
            </w:r>
          </w:p>
        </w:tc>
      </w:tr>
      <w:tr w:rsidR="000E1EF8" w14:paraId="444B503D" w14:textId="77777777" w:rsidTr="00322A3E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2" w:type="dxa"/>
          <w:trHeight w:val="365"/>
        </w:trPr>
        <w:tc>
          <w:tcPr>
            <w:tcW w:w="10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EC88DD" w14:textId="40A0CB88" w:rsidR="000E1EF8" w:rsidRDefault="000E1EF8" w:rsidP="00AA1D4F">
            <w:pPr>
              <w:bidi/>
              <w:spacing w:before="40" w:after="40"/>
              <w:jc w:val="center"/>
              <w:rPr>
                <w:b/>
                <w:color w:val="FFFFFF"/>
                <w:sz w:val="24"/>
                <w:rtl/>
              </w:rPr>
            </w:pPr>
            <w:r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التخلص الصحيح</w:t>
            </w:r>
          </w:p>
        </w:tc>
      </w:tr>
      <w:tr w:rsidR="001F5E51" w14:paraId="0DECB13E" w14:textId="77777777" w:rsidTr="00322A3E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3" w:type="dxa"/>
          <w:trHeight w:val="268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218B7" w14:textId="791D0EEA" w:rsidR="001F5E51" w:rsidRDefault="001F5E51" w:rsidP="00AA1D4F">
            <w:pPr>
              <w:bidi/>
              <w:spacing w:before="20" w:after="20"/>
              <w:ind w:left="40"/>
              <w:jc w:val="center"/>
              <w:rPr>
                <w:sz w:val="8"/>
                <w:rtl/>
              </w:rPr>
            </w:pPr>
            <w:bookmarkStart w:id="0" w:name="Temp"/>
            <w:bookmarkEnd w:id="0"/>
          </w:p>
        </w:tc>
        <w:tc>
          <w:tcPr>
            <w:tcW w:w="90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AF52E" w14:textId="4EE853C4" w:rsidR="001F5E51" w:rsidRDefault="000E1EF8" w:rsidP="00AA1D4F">
            <w:pPr>
              <w:pStyle w:val="MitBullets"/>
              <w:numPr>
                <w:ilvl w:val="0"/>
                <w:numId w:val="0"/>
              </w:numPr>
              <w:bidi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>يجب معالجة بقايا الدقيق والعبوات الفارغة وبقايا التنظيف بطريقة لا تؤدي إلى إحداث غبار جديد.</w:t>
            </w:r>
          </w:p>
        </w:tc>
      </w:tr>
    </w:tbl>
    <w:p w14:paraId="6312D7CA" w14:textId="2FD9D430" w:rsidR="000E1EF8" w:rsidRDefault="0054031A" w:rsidP="00AA1D4F">
      <w:pPr>
        <w:bidi/>
        <w:spacing w:before="0"/>
        <w:rPr>
          <w:sz w:val="8"/>
          <w:rtl/>
        </w:rPr>
      </w:pPr>
      <w:r>
        <w:rPr>
          <w:b/>
          <w:color w:val="FFFFFF"/>
          <w:sz w:val="24"/>
          <w:rtl/>
        </w:rPr>
        <w:pict w14:anchorId="0FADBECD">
          <v:rect id="_x0000_s1028" style="position:absolute;left:0;text-align:left;margin-left:.65pt;margin-top:3.4pt;width:512.2pt;height:6.35pt;z-index:251658240;mso-position-horizontal-relative:text;mso-position-vertical-relative:text" fillcolor="red" stroked="f"/>
        </w:pict>
      </w:r>
      <w:r>
        <w:rPr>
          <w:b/>
          <w:color w:val="FFFFFF"/>
          <w:sz w:val="24"/>
          <w:rtl/>
        </w:rPr>
        <w:pict w14:anchorId="2796880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.5pt;margin-top:18.75pt;width:475.1pt;height:42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9">
              <w:txbxContent>
                <w:tbl>
                  <w:tblPr>
                    <w:bidiVisual/>
                    <w:tblW w:w="11038" w:type="dxa"/>
                    <w:tblInd w:w="-3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272"/>
                    <w:gridCol w:w="5766"/>
                  </w:tblGrid>
                  <w:tr w:rsidR="00AE233B" w14:paraId="0A4882DC" w14:textId="77777777" w:rsidTr="00CF7D0A">
                    <w:trPr>
                      <w:trHeight w:val="1222"/>
                    </w:trPr>
                    <w:tc>
                      <w:tcPr>
                        <w:tcW w:w="5220" w:type="dxa"/>
                      </w:tcPr>
                      <w:p w14:paraId="26938814" w14:textId="77777777" w:rsidR="00AE233B" w:rsidRPr="00D35BC0" w:rsidRDefault="00AE233B" w:rsidP="00D35BC0">
                        <w:pPr>
                          <w:pStyle w:val="StandardBA"/>
                          <w:bidi/>
                          <w:ind w:left="142"/>
                          <w:rPr>
                            <w:sz w:val="20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20"/>
                            <w:rtl/>
                          </w:rPr>
                          <w:t>تاريخ الإصدار:</w:t>
                        </w:r>
                      </w:p>
                      <w:p w14:paraId="04D834BF" w14:textId="77777777" w:rsidR="00AE233B" w:rsidRPr="00D35BC0" w:rsidRDefault="00AE233B" w:rsidP="00D35BC0">
                        <w:pPr>
                          <w:pStyle w:val="StandardBA"/>
                          <w:bidi/>
                          <w:ind w:left="142"/>
                          <w:rPr>
                            <w:sz w:val="20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20"/>
                            <w:rtl/>
                          </w:rPr>
                          <w:t>الموعد القادم لمراجعة تعليمات التشغيل:</w:t>
                        </w:r>
                      </w:p>
                      <w:p w14:paraId="756C2FD1" w14:textId="77777777" w:rsidR="00AE233B" w:rsidRPr="00D35BC0" w:rsidRDefault="00AE233B" w:rsidP="00D35BC0">
                        <w:pPr>
                          <w:pStyle w:val="StandardBA"/>
                          <w:ind w:left="142"/>
                          <w:rPr>
                            <w:sz w:val="20"/>
                            <w:szCs w:val="16"/>
                          </w:rPr>
                        </w:pPr>
                      </w:p>
                    </w:tc>
                    <w:tc>
                      <w:tcPr>
                        <w:tcW w:w="5710" w:type="dxa"/>
                      </w:tcPr>
                      <w:p w14:paraId="52735A1D" w14:textId="77777777" w:rsidR="00AE233B" w:rsidRPr="00D35BC0" w:rsidRDefault="00AE233B" w:rsidP="00D35BC0">
                        <w:pPr>
                          <w:pStyle w:val="StandardBA"/>
                          <w:ind w:left="142"/>
                          <w:rPr>
                            <w:sz w:val="20"/>
                            <w:szCs w:val="16"/>
                          </w:rPr>
                        </w:pPr>
                      </w:p>
                      <w:p w14:paraId="2E54E7AC" w14:textId="77777777" w:rsidR="00AE233B" w:rsidRPr="00D35BC0" w:rsidRDefault="00AE233B" w:rsidP="00D35BC0">
                        <w:pPr>
                          <w:pStyle w:val="StandardBA"/>
                          <w:bidi/>
                          <w:ind w:left="142"/>
                          <w:rPr>
                            <w:sz w:val="20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20"/>
                            <w:rtl/>
                          </w:rPr>
                          <w:t>التوقيع:</w:t>
                        </w:r>
                        <w:r>
                          <w:rPr>
                            <w:rFonts w:hint="cs"/>
                            <w:sz w:val="20"/>
                            <w:rtl/>
                          </w:rPr>
                          <w:br/>
                          <w:t>إدارة الشركة/المدير</w:t>
                        </w:r>
                      </w:p>
                    </w:tc>
                  </w:tr>
                </w:tbl>
                <w:p w14:paraId="1AD0EF71" w14:textId="77777777" w:rsidR="00AE233B" w:rsidRDefault="00AE233B" w:rsidP="00AE233B"/>
              </w:txbxContent>
            </v:textbox>
            <w10:wrap type="square"/>
          </v:shape>
        </w:pict>
      </w:r>
    </w:p>
    <w:sectPr w:rsidR="000E1EF8" w:rsidSect="008A5F53">
      <w:footerReference w:type="default" r:id="rId9"/>
      <w:pgSz w:w="11906" w:h="16838" w:code="9"/>
      <w:pgMar w:top="1276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F051" w14:textId="77777777" w:rsidR="0054031A" w:rsidRDefault="0054031A" w:rsidP="0054031A">
      <w:pPr>
        <w:spacing w:before="0"/>
      </w:pPr>
      <w:r>
        <w:separator/>
      </w:r>
    </w:p>
  </w:endnote>
  <w:endnote w:type="continuationSeparator" w:id="0">
    <w:p w14:paraId="46F20304" w14:textId="77777777" w:rsidR="0054031A" w:rsidRDefault="0054031A" w:rsidP="005403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30B5" w14:textId="48001341" w:rsidR="0054031A" w:rsidRPr="0054031A" w:rsidRDefault="0054031A" w:rsidP="0054031A">
    <w:pPr>
      <w:pStyle w:val="Fuzeile"/>
      <w:jc w:val="right"/>
      <w:rPr>
        <w:sz w:val="16"/>
        <w:szCs w:val="16"/>
      </w:rPr>
    </w:pPr>
    <w:r w:rsidRPr="0054031A">
      <w:rPr>
        <w:sz w:val="16"/>
        <w:szCs w:val="16"/>
      </w:rPr>
      <w:t>Mehlstaub arabisch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DF45" w14:textId="77777777" w:rsidR="0054031A" w:rsidRDefault="0054031A" w:rsidP="0054031A">
      <w:pPr>
        <w:spacing w:before="0"/>
      </w:pPr>
      <w:r>
        <w:separator/>
      </w:r>
    </w:p>
  </w:footnote>
  <w:footnote w:type="continuationSeparator" w:id="0">
    <w:p w14:paraId="0D3AA13D" w14:textId="77777777" w:rsidR="0054031A" w:rsidRDefault="0054031A" w:rsidP="0054031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D14"/>
    <w:multiLevelType w:val="singleLevel"/>
    <w:tmpl w:val="05F86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D7E3B"/>
    <w:multiLevelType w:val="singleLevel"/>
    <w:tmpl w:val="6B80ACBC"/>
    <w:lvl w:ilvl="0">
      <w:start w:val="1"/>
      <w:numFmt w:val="bullet"/>
      <w:pStyle w:val="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965391"/>
    <w:multiLevelType w:val="hybridMultilevel"/>
    <w:tmpl w:val="363E3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D243F"/>
    <w:multiLevelType w:val="hybridMultilevel"/>
    <w:tmpl w:val="DDFEDDC8"/>
    <w:lvl w:ilvl="0" w:tplc="2C9CA72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46977">
    <w:abstractNumId w:val="0"/>
  </w:num>
  <w:num w:numId="2" w16cid:durableId="1385371832">
    <w:abstractNumId w:val="1"/>
  </w:num>
  <w:num w:numId="3" w16cid:durableId="1248464354">
    <w:abstractNumId w:val="2"/>
  </w:num>
  <w:num w:numId="4" w16cid:durableId="1022239913">
    <w:abstractNumId w:val="3"/>
  </w:num>
  <w:num w:numId="5" w16cid:durableId="777678977">
    <w:abstractNumId w:val="1"/>
  </w:num>
  <w:num w:numId="6" w16cid:durableId="87820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C57"/>
    <w:rsid w:val="00037CC5"/>
    <w:rsid w:val="000722F1"/>
    <w:rsid w:val="000E1EF8"/>
    <w:rsid w:val="001D167F"/>
    <w:rsid w:val="001E6286"/>
    <w:rsid w:val="001F5E51"/>
    <w:rsid w:val="00322A3E"/>
    <w:rsid w:val="00342C57"/>
    <w:rsid w:val="003F79DD"/>
    <w:rsid w:val="004976AF"/>
    <w:rsid w:val="004D21E5"/>
    <w:rsid w:val="0054031A"/>
    <w:rsid w:val="00581C91"/>
    <w:rsid w:val="006809B2"/>
    <w:rsid w:val="00694FF0"/>
    <w:rsid w:val="008A5F53"/>
    <w:rsid w:val="00AA1D4F"/>
    <w:rsid w:val="00AE233B"/>
    <w:rsid w:val="00B63B78"/>
    <w:rsid w:val="00B70259"/>
    <w:rsid w:val="00CC62D7"/>
    <w:rsid w:val="00CF1201"/>
    <w:rsid w:val="00D67E35"/>
    <w:rsid w:val="00E407FB"/>
    <w:rsid w:val="00F33886"/>
    <w:rsid w:val="00F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DCDBC69"/>
  <w15:chartTrackingRefBased/>
  <w15:docId w15:val="{AD665266-DDC8-40F4-B5D3-5ECB3619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after="20"/>
      <w:jc w:val="center"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345"/>
      </w:tabs>
      <w:spacing w:before="20" w:after="20"/>
      <w:outlineLvl w:val="6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A">
    <w:name w:val="Standard_BA"/>
    <w:rsid w:val="00AE233B"/>
    <w:rPr>
      <w:rFonts w:ascii="Arial" w:hAnsi="Arial"/>
      <w:sz w:val="24"/>
    </w:rPr>
  </w:style>
  <w:style w:type="paragraph" w:customStyle="1" w:styleId="MitBullets">
    <w:name w:val="MitBullets"/>
    <w:basedOn w:val="Standard"/>
    <w:pPr>
      <w:numPr>
        <w:numId w:val="2"/>
      </w:num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Kopfzeile">
    <w:name w:val="header"/>
    <w:basedOn w:val="Standard"/>
    <w:link w:val="KopfzeileZchn"/>
    <w:rsid w:val="005403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4031A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5403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4031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etran3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Betran32.Dot</Template>
  <TotalTime>0</TotalTime>
  <Pages>1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User</dc:creator>
  <cp:keywords>-</cp:keywords>
  <cp:lastModifiedBy>Wetzel, Andrea</cp:lastModifiedBy>
  <cp:revision>3</cp:revision>
  <cp:lastPrinted>1999-07-15T11:13:00Z</cp:lastPrinted>
  <dcterms:created xsi:type="dcterms:W3CDTF">2024-03-08T11:01:00Z</dcterms:created>
  <dcterms:modified xsi:type="dcterms:W3CDTF">2024-03-08T11:02:00Z</dcterms:modified>
</cp:coreProperties>
</file>