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CE22" w14:textId="1AC6AB18" w:rsidR="00E407FB" w:rsidRDefault="00786142">
      <w:pPr>
        <w:spacing w:before="0"/>
        <w:rPr>
          <w:sz w:val="8"/>
        </w:rPr>
      </w:pPr>
      <w:r>
        <w:rPr>
          <w:sz w:val="8"/>
        </w:rPr>
        <w:pict w14:anchorId="72CC0A76">
          <v:rect id="_x0000_s1029" alt="" style="position:absolute;margin-left:-6pt;margin-top:-9.7pt;width:513.7pt;height:760.2pt;z-index:251656192;mso-wrap-edited:f;mso-width-percent:0;mso-width-percent:0" o:allowincell="f" filled="f" strokecolor="red" strokeweight="6pt"/>
        </w:pic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26"/>
        <w:gridCol w:w="7369"/>
        <w:gridCol w:w="228"/>
        <w:gridCol w:w="1191"/>
      </w:tblGrid>
      <w:tr w:rsidR="00E407FB" w14:paraId="6FE23295" w14:textId="77777777" w:rsidTr="001F5E51">
        <w:tc>
          <w:tcPr>
            <w:tcW w:w="1417" w:type="dxa"/>
            <w:gridSpan w:val="2"/>
            <w:tcBorders>
              <w:bottom w:val="nil"/>
            </w:tcBorders>
          </w:tcPr>
          <w:p w14:paraId="28B5A9B2" w14:textId="1063CBAC" w:rsidR="00E407FB" w:rsidRDefault="00E407FB">
            <w:pPr>
              <w:pStyle w:val="berschrift5"/>
            </w:pPr>
          </w:p>
        </w:tc>
        <w:tc>
          <w:tcPr>
            <w:tcW w:w="7369" w:type="dxa"/>
            <w:tcBorders>
              <w:bottom w:val="nil"/>
            </w:tcBorders>
          </w:tcPr>
          <w:p w14:paraId="5C3BE61B" w14:textId="77777777" w:rsidR="00E407FB" w:rsidRDefault="00E407FB">
            <w:pPr>
              <w:spacing w:before="40" w:after="40"/>
              <w:jc w:val="center"/>
              <w:rPr>
                <w:b/>
                <w:color w:val="000000"/>
                <w:sz w:val="24"/>
              </w:rPr>
            </w:pPr>
            <w:r>
              <w:rPr>
                <w:b/>
                <w:color w:val="000000"/>
                <w:sz w:val="24"/>
              </w:rPr>
              <w:t>INSTRUKCJA OBSŁUGI</w:t>
            </w:r>
          </w:p>
          <w:p w14:paraId="00F78EDA" w14:textId="3404651A" w:rsidR="00E407FB" w:rsidRDefault="00E407FB">
            <w:pPr>
              <w:spacing w:before="0" w:after="40"/>
              <w:jc w:val="center"/>
              <w:rPr>
                <w:color w:val="000000"/>
                <w:sz w:val="20"/>
              </w:rPr>
            </w:pPr>
            <w:r>
              <w:rPr>
                <w:color w:val="000000"/>
                <w:sz w:val="20"/>
              </w:rPr>
              <w:t>Zgodnie z §14 Rozporządzenia w sprawie substancji niebezpiecznych [GefStoffV]</w:t>
            </w:r>
          </w:p>
          <w:p w14:paraId="342FEA08" w14:textId="77777777" w:rsidR="00E407FB" w:rsidRDefault="00E407FB">
            <w:pPr>
              <w:shd w:val="pct10" w:color="auto" w:fill="FFFFFF"/>
              <w:spacing w:before="40" w:after="40"/>
              <w:jc w:val="center"/>
              <w:rPr>
                <w:b/>
                <w:color w:val="000000"/>
              </w:rPr>
            </w:pPr>
            <w:r>
              <w:rPr>
                <w:b/>
                <w:color w:val="000000"/>
              </w:rPr>
              <w:t>Zakres obowiązywania i działania</w:t>
            </w:r>
          </w:p>
          <w:p w14:paraId="2D320E86" w14:textId="74E398FC" w:rsidR="00E407FB" w:rsidRPr="000E1EF8" w:rsidRDefault="004976AF">
            <w:pPr>
              <w:shd w:val="pct10" w:color="auto" w:fill="FFFFFF"/>
              <w:spacing w:before="40" w:after="40"/>
              <w:jc w:val="center"/>
              <w:rPr>
                <w:color w:val="000000"/>
                <w:sz w:val="20"/>
              </w:rPr>
            </w:pPr>
            <w:r>
              <w:rPr>
                <w:color w:val="000000"/>
                <w:sz w:val="20"/>
              </w:rPr>
              <w:t>Praca z mąką</w:t>
            </w:r>
          </w:p>
        </w:tc>
        <w:tc>
          <w:tcPr>
            <w:tcW w:w="1419" w:type="dxa"/>
            <w:gridSpan w:val="2"/>
            <w:tcBorders>
              <w:bottom w:val="nil"/>
            </w:tcBorders>
          </w:tcPr>
          <w:p w14:paraId="7463F2F2" w14:textId="24C8D6D5" w:rsidR="00E407FB" w:rsidRDefault="00E407FB">
            <w:pPr>
              <w:spacing w:before="40" w:after="40"/>
              <w:jc w:val="center"/>
              <w:rPr>
                <w:b/>
                <w:sz w:val="20"/>
              </w:rPr>
            </w:pPr>
            <w:r>
              <w:rPr>
                <w:b/>
                <w:sz w:val="20"/>
              </w:rPr>
              <w:t>Stan 07/2023</w:t>
            </w:r>
          </w:p>
          <w:p w14:paraId="396C2251" w14:textId="77777777" w:rsidR="00E407FB" w:rsidRDefault="00E407FB">
            <w:pPr>
              <w:spacing w:before="360"/>
              <w:jc w:val="center"/>
              <w:rPr>
                <w:sz w:val="16"/>
              </w:rPr>
            </w:pPr>
            <w:r>
              <w:rPr>
                <w:sz w:val="16"/>
              </w:rPr>
              <w:t>______________</w:t>
            </w:r>
          </w:p>
          <w:p w14:paraId="046D4AFB" w14:textId="77777777" w:rsidR="00E407FB" w:rsidRDefault="00E407FB">
            <w:pPr>
              <w:spacing w:before="0"/>
              <w:jc w:val="center"/>
              <w:rPr>
                <w:sz w:val="16"/>
              </w:rPr>
            </w:pPr>
            <w:r>
              <w:rPr>
                <w:sz w:val="16"/>
              </w:rPr>
              <w:t>Potwierdzanie</w:t>
            </w:r>
          </w:p>
        </w:tc>
      </w:tr>
      <w:tr w:rsidR="00E407FB" w14:paraId="58A5AEC0"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53BB6F32" w14:textId="77777777" w:rsidR="00E407FB" w:rsidRDefault="00E407FB">
            <w:pPr>
              <w:spacing w:before="40" w:after="40"/>
              <w:jc w:val="center"/>
              <w:rPr>
                <w:b/>
                <w:color w:val="FFFFFF"/>
                <w:sz w:val="24"/>
              </w:rPr>
            </w:pPr>
            <w:r>
              <w:rPr>
                <w:b/>
                <w:color w:val="FFFFFF"/>
                <w:sz w:val="24"/>
              </w:rPr>
              <w:t>OPIS SUBSTANCJI NIEBEZPIECZNEJ</w:t>
            </w:r>
          </w:p>
        </w:tc>
      </w:tr>
      <w:tr w:rsidR="00E407FB" w14:paraId="21BD04C3" w14:textId="77777777" w:rsidTr="001F5E51">
        <w:tblPrEx>
          <w:tblBorders>
            <w:top w:val="single" w:sz="4" w:space="0" w:color="auto"/>
            <w:bottom w:val="single" w:sz="4" w:space="0" w:color="auto"/>
          </w:tblBorders>
        </w:tblPrEx>
        <w:tc>
          <w:tcPr>
            <w:tcW w:w="10205" w:type="dxa"/>
            <w:gridSpan w:val="5"/>
            <w:tcBorders>
              <w:top w:val="nil"/>
              <w:left w:val="nil"/>
              <w:bottom w:val="nil"/>
              <w:right w:val="nil"/>
            </w:tcBorders>
            <w:vAlign w:val="center"/>
          </w:tcPr>
          <w:p w14:paraId="57FC9168" w14:textId="77777777" w:rsidR="001F5E51" w:rsidRPr="000E1EF8" w:rsidRDefault="001F5E51">
            <w:pPr>
              <w:pStyle w:val="berschrift6"/>
              <w:rPr>
                <w:sz w:val="22"/>
                <w:szCs w:val="22"/>
              </w:rPr>
            </w:pPr>
            <w:r>
              <w:rPr>
                <w:sz w:val="22"/>
              </w:rPr>
              <w:t xml:space="preserve">Substancje uczulające drogi oddechowe w piekarniach </w:t>
            </w:r>
          </w:p>
          <w:p w14:paraId="63A73C31" w14:textId="43EE94CE" w:rsidR="00E407FB" w:rsidRPr="000E1EF8" w:rsidRDefault="001F5E51" w:rsidP="001F5E51">
            <w:pPr>
              <w:pStyle w:val="berschrift6"/>
              <w:rPr>
                <w:sz w:val="20"/>
              </w:rPr>
            </w:pPr>
            <w:r>
              <w:rPr>
                <w:b w:val="0"/>
                <w:sz w:val="20"/>
              </w:rPr>
              <w:t>(pył mączny, pył z proszku do pieczenia)</w:t>
            </w:r>
          </w:p>
        </w:tc>
      </w:tr>
      <w:tr w:rsidR="00E407FB" w14:paraId="37F71241"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6B6C61F6" w14:textId="77777777" w:rsidR="00E407FB" w:rsidRDefault="00E407FB">
            <w:pPr>
              <w:spacing w:before="40" w:after="40"/>
              <w:jc w:val="center"/>
              <w:rPr>
                <w:b/>
                <w:color w:val="FFFFFF"/>
                <w:sz w:val="24"/>
              </w:rPr>
            </w:pPr>
            <w:r>
              <w:rPr>
                <w:b/>
                <w:color w:val="FFFFFF"/>
                <w:sz w:val="24"/>
              </w:rPr>
              <w:t>ZAGROŻENIA DLA CZŁOWIEKA I ŚRODOWISKA</w:t>
            </w:r>
          </w:p>
        </w:tc>
      </w:tr>
      <w:tr w:rsidR="001F5E51" w14:paraId="6187C38D" w14:textId="77777777" w:rsidTr="008773A2">
        <w:tblPrEx>
          <w:tblBorders>
            <w:top w:val="single" w:sz="4" w:space="0" w:color="auto"/>
            <w:bottom w:val="single" w:sz="4" w:space="0" w:color="auto"/>
          </w:tblBorders>
        </w:tblPrEx>
        <w:trPr>
          <w:cantSplit/>
        </w:trPr>
        <w:tc>
          <w:tcPr>
            <w:tcW w:w="1191" w:type="dxa"/>
            <w:tcBorders>
              <w:top w:val="nil"/>
              <w:left w:val="nil"/>
              <w:bottom w:val="nil"/>
              <w:right w:val="nil"/>
            </w:tcBorders>
            <w:vAlign w:val="center"/>
          </w:tcPr>
          <w:p w14:paraId="1C841312" w14:textId="54C40E86" w:rsidR="001F5E51" w:rsidRDefault="001F5E51" w:rsidP="001F5E51">
            <w:pPr>
              <w:spacing w:before="20" w:after="20"/>
              <w:ind w:left="40"/>
              <w:jc w:val="center"/>
              <w:rPr>
                <w:sz w:val="8"/>
              </w:rPr>
            </w:pPr>
          </w:p>
        </w:tc>
        <w:tc>
          <w:tcPr>
            <w:tcW w:w="9014" w:type="dxa"/>
            <w:gridSpan w:val="4"/>
            <w:tcBorders>
              <w:top w:val="nil"/>
              <w:left w:val="nil"/>
              <w:bottom w:val="nil"/>
              <w:right w:val="nil"/>
            </w:tcBorders>
          </w:tcPr>
          <w:p w14:paraId="28445BF0" w14:textId="7137F1F3" w:rsidR="001F5E51" w:rsidRPr="000E1EF8" w:rsidRDefault="001F5E51" w:rsidP="001F5E51">
            <w:pPr>
              <w:pStyle w:val="MitBullets"/>
              <w:numPr>
                <w:ilvl w:val="0"/>
                <w:numId w:val="0"/>
              </w:numPr>
              <w:rPr>
                <w:rFonts w:cs="Arial"/>
                <w:sz w:val="20"/>
              </w:rPr>
            </w:pPr>
            <w:r>
              <w:rPr>
                <w:sz w:val="20"/>
              </w:rPr>
              <w:t>Pył mączny i pył z proszku do pieczenia mogą powodować uczulenie i wywoływać alergiczny nieżyt nosa oraz astmę (choroba zawodowa nr 4301).</w:t>
            </w:r>
          </w:p>
        </w:tc>
      </w:tr>
      <w:tr w:rsidR="001F5E51" w14:paraId="519C6EEB"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3065EF5C" w14:textId="49CA04FD" w:rsidR="001F5E51" w:rsidRDefault="00741B05" w:rsidP="001F5E51">
            <w:pPr>
              <w:spacing w:before="40" w:after="40"/>
              <w:jc w:val="center"/>
              <w:rPr>
                <w:b/>
                <w:color w:val="FFFFFF"/>
                <w:sz w:val="24"/>
              </w:rPr>
            </w:pPr>
            <w:r>
              <w:rPr>
                <w:b/>
                <w:color w:val="FFFFFF"/>
                <w:sz w:val="28"/>
              </w:rPr>
              <w:t>ŚRODKI OCHRONY I REGUŁY ZACHOWANIA</w:t>
            </w:r>
          </w:p>
        </w:tc>
      </w:tr>
      <w:tr w:rsidR="001F5E51" w14:paraId="7B6532CE" w14:textId="77777777">
        <w:tblPrEx>
          <w:tblBorders>
            <w:top w:val="single" w:sz="4" w:space="0" w:color="auto"/>
            <w:bottom w:val="single" w:sz="4" w:space="0" w:color="auto"/>
          </w:tblBorders>
        </w:tblPrEx>
        <w:tc>
          <w:tcPr>
            <w:tcW w:w="1191" w:type="dxa"/>
            <w:tcBorders>
              <w:top w:val="nil"/>
              <w:left w:val="nil"/>
              <w:bottom w:val="nil"/>
              <w:right w:val="nil"/>
            </w:tcBorders>
            <w:vAlign w:val="center"/>
          </w:tcPr>
          <w:p w14:paraId="795806AF" w14:textId="75337BA0" w:rsidR="001F5E51" w:rsidRDefault="001F5E51" w:rsidP="001F5E51">
            <w:pPr>
              <w:spacing w:before="20" w:after="20"/>
              <w:jc w:val="center"/>
              <w:rPr>
                <w:sz w:val="8"/>
              </w:rPr>
            </w:pPr>
          </w:p>
        </w:tc>
        <w:tc>
          <w:tcPr>
            <w:tcW w:w="7823" w:type="dxa"/>
            <w:gridSpan w:val="3"/>
            <w:tcBorders>
              <w:top w:val="nil"/>
              <w:left w:val="nil"/>
              <w:bottom w:val="nil"/>
              <w:right w:val="nil"/>
            </w:tcBorders>
            <w:vAlign w:val="center"/>
          </w:tcPr>
          <w:p w14:paraId="44F59A7E" w14:textId="178E7432" w:rsidR="001F5E51" w:rsidRPr="000E1EF8" w:rsidRDefault="00C71408" w:rsidP="001F5E51">
            <w:pPr>
              <w:pStyle w:val="MitBullets"/>
              <w:numPr>
                <w:ilvl w:val="0"/>
                <w:numId w:val="0"/>
              </w:numPr>
              <w:spacing w:before="20" w:after="20"/>
              <w:ind w:left="170" w:hanging="170"/>
              <w:rPr>
                <w:sz w:val="20"/>
              </w:rPr>
            </w:pPr>
            <w:r>
              <w:rPr>
                <w:sz w:val="20"/>
              </w:rPr>
              <w:t xml:space="preserve">Generalnie </w:t>
            </w:r>
            <w:r w:rsidR="001F5E51">
              <w:rPr>
                <w:sz w:val="20"/>
              </w:rPr>
              <w:t>należy unikać uczulających pyłów w powietrzu, którym odd</w:t>
            </w:r>
            <w:r>
              <w:rPr>
                <w:sz w:val="20"/>
              </w:rPr>
              <w:t>y</w:t>
            </w:r>
            <w:r w:rsidR="001F5E51">
              <w:rPr>
                <w:sz w:val="20"/>
              </w:rPr>
              <w:t>chamy!</w:t>
            </w:r>
          </w:p>
          <w:p w14:paraId="1D34ADEA" w14:textId="0AD27D46" w:rsidR="001F5E51" w:rsidRPr="000E1EF8" w:rsidRDefault="005E71BB" w:rsidP="001F5E51">
            <w:pPr>
              <w:pStyle w:val="MitBullets"/>
              <w:numPr>
                <w:ilvl w:val="0"/>
                <w:numId w:val="0"/>
              </w:numPr>
              <w:spacing w:before="20" w:after="20"/>
              <w:ind w:left="170" w:hanging="170"/>
              <w:rPr>
                <w:b/>
                <w:bCs/>
                <w:sz w:val="20"/>
              </w:rPr>
            </w:pPr>
            <w:r>
              <w:rPr>
                <w:b/>
                <w:sz w:val="20"/>
              </w:rPr>
              <w:t>Odpowiedni sposób postępowania</w:t>
            </w:r>
          </w:p>
          <w:p w14:paraId="0900B132" w14:textId="04D6D1DD" w:rsidR="001F5E51" w:rsidRPr="000E1EF8" w:rsidRDefault="001F5E51" w:rsidP="001F5E51">
            <w:pPr>
              <w:pStyle w:val="MitBullets"/>
              <w:numPr>
                <w:ilvl w:val="0"/>
                <w:numId w:val="0"/>
              </w:numPr>
              <w:spacing w:before="20" w:after="20"/>
              <w:ind w:left="170" w:hanging="170"/>
              <w:rPr>
                <w:sz w:val="20"/>
              </w:rPr>
            </w:pPr>
            <w:r>
              <w:rPr>
                <w:sz w:val="20"/>
              </w:rPr>
              <w:t>Osiąga się poprzez:</w:t>
            </w:r>
          </w:p>
          <w:p w14:paraId="7A9A6DB4" w14:textId="52F01952" w:rsidR="001F5E51" w:rsidRPr="000E1EF8" w:rsidRDefault="001F5E51" w:rsidP="001F5E51">
            <w:pPr>
              <w:pStyle w:val="MitBullets"/>
              <w:numPr>
                <w:ilvl w:val="0"/>
                <w:numId w:val="3"/>
              </w:numPr>
              <w:spacing w:before="20" w:after="20"/>
              <w:ind w:hanging="720"/>
              <w:rPr>
                <w:sz w:val="20"/>
              </w:rPr>
            </w:pPr>
            <w:r>
              <w:rPr>
                <w:sz w:val="20"/>
              </w:rPr>
              <w:t>Podczas operacji napełniania wykonywać czynności o niskim zapyleniu</w:t>
            </w:r>
          </w:p>
          <w:p w14:paraId="116F887B" w14:textId="088E4128" w:rsidR="001F5E51" w:rsidRPr="000E1EF8" w:rsidRDefault="001F5E51" w:rsidP="001F5E51">
            <w:pPr>
              <w:pStyle w:val="MitBullets"/>
              <w:numPr>
                <w:ilvl w:val="0"/>
                <w:numId w:val="4"/>
              </w:numPr>
              <w:spacing w:before="20" w:after="20"/>
              <w:rPr>
                <w:sz w:val="20"/>
              </w:rPr>
            </w:pPr>
            <w:r>
              <w:rPr>
                <w:sz w:val="20"/>
              </w:rPr>
              <w:t>W przypadku towarów w workach: jeśli to możliwe, należy stosować metodę podwójnej szczeliny. Uwzględniają aspekty ergonomiczne, worki należy trzymać i przesypywać jak najgłębiej w napełnianych pojemnikach.</w:t>
            </w:r>
          </w:p>
          <w:p w14:paraId="7ED39459" w14:textId="5CB5A815" w:rsidR="001F5E51" w:rsidRPr="000E1EF8" w:rsidRDefault="001F5E51" w:rsidP="001F5E51">
            <w:pPr>
              <w:pStyle w:val="MitBullets"/>
              <w:numPr>
                <w:ilvl w:val="0"/>
                <w:numId w:val="4"/>
              </w:numPr>
              <w:spacing w:before="20" w:after="20"/>
              <w:rPr>
                <w:sz w:val="20"/>
              </w:rPr>
            </w:pPr>
            <w:r>
              <w:rPr>
                <w:sz w:val="20"/>
              </w:rPr>
              <w:t>Podczas usuwania mąki z wagi silosowej: wąż napełniający powinien sięgać jak najgłębiej do ziemi lub należy ograniczyć energię spadania poprzez umiejętne prowadzenie węża ręką.</w:t>
            </w:r>
          </w:p>
          <w:p w14:paraId="15EF06FB" w14:textId="63B95A92" w:rsidR="001F5E51" w:rsidRPr="000E1EF8" w:rsidRDefault="001F5E51" w:rsidP="001F5E51">
            <w:pPr>
              <w:pStyle w:val="MitBullets"/>
              <w:numPr>
                <w:ilvl w:val="0"/>
                <w:numId w:val="4"/>
              </w:numPr>
              <w:spacing w:before="20" w:after="20"/>
              <w:rPr>
                <w:sz w:val="20"/>
              </w:rPr>
            </w:pPr>
            <w:r>
              <w:rPr>
                <w:sz w:val="20"/>
              </w:rPr>
              <w:t>Stosować granulowane, pastowate lub płynne środki do pieczenia.</w:t>
            </w:r>
          </w:p>
          <w:p w14:paraId="0DEB8D59" w14:textId="157C79B9" w:rsidR="001F5E51" w:rsidRPr="000E1EF8" w:rsidRDefault="001F5E51" w:rsidP="001F5E51">
            <w:pPr>
              <w:pStyle w:val="MitBullets"/>
              <w:numPr>
                <w:ilvl w:val="0"/>
                <w:numId w:val="4"/>
              </w:numPr>
              <w:spacing w:before="20" w:after="20"/>
              <w:rPr>
                <w:sz w:val="20"/>
              </w:rPr>
            </w:pPr>
            <w:r>
              <w:rPr>
                <w:sz w:val="20"/>
              </w:rPr>
              <w:t>Przykrywać ugniatarki szczelnie przylegającą pokrywą.</w:t>
            </w:r>
          </w:p>
          <w:p w14:paraId="209A51B9" w14:textId="4311049E" w:rsidR="001F5E51" w:rsidRPr="000E1EF8" w:rsidRDefault="001F5E51" w:rsidP="001F5E51">
            <w:pPr>
              <w:pStyle w:val="MitBullets"/>
              <w:numPr>
                <w:ilvl w:val="0"/>
                <w:numId w:val="3"/>
              </w:numPr>
              <w:spacing w:before="20" w:after="20"/>
              <w:ind w:hanging="720"/>
              <w:rPr>
                <w:sz w:val="20"/>
              </w:rPr>
            </w:pPr>
            <w:r>
              <w:rPr>
                <w:sz w:val="20"/>
              </w:rPr>
              <w:t>Podczas przygotowywania ciasta stosować zasady pracy niskopyłowej.</w:t>
            </w:r>
          </w:p>
          <w:p w14:paraId="5B3DD722" w14:textId="1A050963" w:rsidR="001F5E51" w:rsidRPr="000E1EF8" w:rsidRDefault="001F5E51" w:rsidP="001F5E51">
            <w:pPr>
              <w:pStyle w:val="MitBullets"/>
              <w:numPr>
                <w:ilvl w:val="0"/>
                <w:numId w:val="4"/>
              </w:numPr>
              <w:spacing w:before="20" w:after="20"/>
              <w:rPr>
                <w:sz w:val="20"/>
              </w:rPr>
            </w:pPr>
            <w:r>
              <w:rPr>
                <w:sz w:val="20"/>
              </w:rPr>
              <w:t>Unikać ręcznego rzucania mąki oddzielającej, zamiast tego pocierać ją lub nakładać ją przez sito.</w:t>
            </w:r>
          </w:p>
          <w:p w14:paraId="6E7324A4" w14:textId="06711E2B" w:rsidR="001F5E51" w:rsidRPr="000E1EF8" w:rsidRDefault="001F5E51" w:rsidP="001F5E51">
            <w:pPr>
              <w:pStyle w:val="MitBullets"/>
              <w:numPr>
                <w:ilvl w:val="0"/>
                <w:numId w:val="4"/>
              </w:numPr>
              <w:spacing w:before="20" w:after="20"/>
              <w:rPr>
                <w:sz w:val="20"/>
              </w:rPr>
            </w:pPr>
            <w:r>
              <w:rPr>
                <w:sz w:val="20"/>
              </w:rPr>
              <w:t>Stosować niskopylące mąki oddzielające (np. mąka HT, mąka pszenna, semolina z pszenicy durum) lub oleje oddzielające.</w:t>
            </w:r>
          </w:p>
          <w:p w14:paraId="525199FE" w14:textId="56B16DAA" w:rsidR="001F5E51" w:rsidRPr="000E1EF8" w:rsidRDefault="001F5E51" w:rsidP="001F5E51">
            <w:pPr>
              <w:pStyle w:val="MitBullets"/>
              <w:spacing w:before="20" w:after="20"/>
              <w:ind w:left="170" w:hanging="170"/>
              <w:rPr>
                <w:sz w:val="20"/>
              </w:rPr>
            </w:pPr>
            <w:r>
              <w:rPr>
                <w:sz w:val="20"/>
              </w:rPr>
              <w:t>Stosować niskopyłowe procesy czyszczenia.</w:t>
            </w:r>
          </w:p>
          <w:p w14:paraId="1F8D8D34" w14:textId="6FBFC0E6" w:rsidR="001F5E51" w:rsidRPr="000E1EF8" w:rsidRDefault="001F5E51" w:rsidP="001F5E51">
            <w:pPr>
              <w:pStyle w:val="MitBullets"/>
              <w:numPr>
                <w:ilvl w:val="0"/>
                <w:numId w:val="4"/>
              </w:numPr>
              <w:spacing w:before="20" w:after="20"/>
              <w:rPr>
                <w:sz w:val="20"/>
              </w:rPr>
            </w:pPr>
            <w:r>
              <w:rPr>
                <w:sz w:val="20"/>
              </w:rPr>
              <w:t>Stosować skrobaki, odpowiednie odkurzacze, czyszczenie wykonywać na mokro.</w:t>
            </w:r>
          </w:p>
          <w:p w14:paraId="146EB4E6" w14:textId="77777777" w:rsidR="001F5E51" w:rsidRPr="000E1EF8" w:rsidRDefault="001F5E51" w:rsidP="001F5E51">
            <w:pPr>
              <w:pStyle w:val="MitBullets"/>
              <w:numPr>
                <w:ilvl w:val="0"/>
                <w:numId w:val="0"/>
              </w:numPr>
              <w:spacing w:before="20" w:after="20"/>
              <w:rPr>
                <w:sz w:val="20"/>
              </w:rPr>
            </w:pPr>
            <w:r>
              <w:rPr>
                <w:sz w:val="20"/>
              </w:rPr>
              <w:t>Czyszczenie maszyn i podłóg sprężonym powietrzem jest zabronione!</w:t>
            </w:r>
          </w:p>
          <w:p w14:paraId="761E8716" w14:textId="77777777" w:rsidR="001F5E51" w:rsidRPr="000E1EF8" w:rsidRDefault="001F5E51" w:rsidP="001F5E51">
            <w:pPr>
              <w:pStyle w:val="MitBullets"/>
              <w:numPr>
                <w:ilvl w:val="0"/>
                <w:numId w:val="0"/>
              </w:numPr>
              <w:spacing w:before="20" w:after="20"/>
              <w:rPr>
                <w:b/>
                <w:bCs/>
                <w:sz w:val="20"/>
              </w:rPr>
            </w:pPr>
            <w:r>
              <w:rPr>
                <w:b/>
                <w:sz w:val="20"/>
              </w:rPr>
              <w:t>Magazynowanie</w:t>
            </w:r>
          </w:p>
          <w:p w14:paraId="6DB97217" w14:textId="0C31454A" w:rsidR="001F5E51" w:rsidRPr="000E1EF8" w:rsidRDefault="001F5E51" w:rsidP="001F5E51">
            <w:pPr>
              <w:pStyle w:val="MitBullets"/>
              <w:numPr>
                <w:ilvl w:val="0"/>
                <w:numId w:val="0"/>
              </w:numPr>
              <w:spacing w:before="20" w:after="20"/>
              <w:ind w:left="170" w:hanging="170"/>
              <w:rPr>
                <w:sz w:val="20"/>
              </w:rPr>
            </w:pPr>
            <w:r>
              <w:rPr>
                <w:sz w:val="20"/>
              </w:rPr>
              <w:t>Pojemniki przechowywać możliwie szczelnie zamknięte.</w:t>
            </w:r>
          </w:p>
        </w:tc>
        <w:tc>
          <w:tcPr>
            <w:tcW w:w="1191" w:type="dxa"/>
            <w:tcBorders>
              <w:top w:val="nil"/>
              <w:left w:val="nil"/>
              <w:bottom w:val="nil"/>
              <w:right w:val="nil"/>
            </w:tcBorders>
            <w:vAlign w:val="center"/>
          </w:tcPr>
          <w:p w14:paraId="7E5AC5DA" w14:textId="531AA222" w:rsidR="001F5E51" w:rsidRDefault="001F5E51" w:rsidP="001F5E51">
            <w:pPr>
              <w:spacing w:before="20" w:after="20"/>
              <w:ind w:left="-57"/>
              <w:jc w:val="center"/>
              <w:rPr>
                <w:sz w:val="8"/>
              </w:rPr>
            </w:pPr>
          </w:p>
        </w:tc>
      </w:tr>
      <w:tr w:rsidR="001F5E51" w14:paraId="60D034E6"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745AF75A" w14:textId="77777777" w:rsidR="001F5E51" w:rsidRDefault="001F5E51" w:rsidP="00037CC5">
            <w:pPr>
              <w:spacing w:before="40" w:after="40"/>
              <w:ind w:left="360"/>
              <w:jc w:val="center"/>
              <w:rPr>
                <w:b/>
                <w:color w:val="FFFFFF"/>
                <w:sz w:val="24"/>
              </w:rPr>
            </w:pPr>
            <w:r>
              <w:rPr>
                <w:b/>
                <w:color w:val="FFFFFF"/>
                <w:sz w:val="24"/>
              </w:rPr>
              <w:t>ZACHOWANIE W SYTUACJI ZAGROŻENIA</w:t>
            </w:r>
          </w:p>
        </w:tc>
      </w:tr>
      <w:tr w:rsidR="001F5E51" w14:paraId="0227000D" w14:textId="77777777">
        <w:tblPrEx>
          <w:tblBorders>
            <w:top w:val="single" w:sz="4" w:space="0" w:color="auto"/>
            <w:bottom w:val="single" w:sz="4" w:space="0" w:color="auto"/>
          </w:tblBorders>
        </w:tblPrEx>
        <w:trPr>
          <w:cantSplit/>
        </w:trPr>
        <w:tc>
          <w:tcPr>
            <w:tcW w:w="10205" w:type="dxa"/>
            <w:gridSpan w:val="5"/>
            <w:tcBorders>
              <w:top w:val="nil"/>
              <w:left w:val="nil"/>
              <w:bottom w:val="nil"/>
              <w:right w:val="nil"/>
            </w:tcBorders>
            <w:vAlign w:val="center"/>
          </w:tcPr>
          <w:p w14:paraId="4ADEB0AE" w14:textId="08C9DE24" w:rsidR="001F5E51" w:rsidRDefault="00786142" w:rsidP="001F5E51">
            <w:pPr>
              <w:pStyle w:val="MitBullets"/>
              <w:numPr>
                <w:ilvl w:val="0"/>
                <w:numId w:val="0"/>
              </w:numPr>
              <w:spacing w:before="20" w:after="20"/>
              <w:ind w:left="1134"/>
            </w:pPr>
            <w:r>
              <w:pict w14:anchorId="461B5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Ein Bild, das Zeichnung enthält.&#10;&#10;&#10;&#10;Automatisch generierte Beschreibung" style="position:absolute;left:0;text-align:left;margin-left:-.15pt;margin-top:7.65pt;width:52.35pt;height:52.35pt;z-index:251657216;visibility:visible;mso-wrap-style:square;mso-wrap-edited:f;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7" o:title="Ein Bild, das Zeichnung enthält"/>
                  <w10:wrap type="square" anchorx="margin" anchory="margin"/>
                </v:shape>
              </w:pict>
            </w:r>
            <w:r w:rsidR="006809B2">
              <w:t>Podczas wykonywania prac charakteryzujących się dużym zapyleniem (np. czyszczenie silosów na mąkę, czyszczenie urządzeń odciągowych) nosić środki ochrony osobistej. Stosować półmaski filtrujące cząstki stałe, co najmniej FFP2. Przy doborze należy zadbać o to, aby opór oddychania był jak najmniejszy (np. wsparcie przez zawór wydechowy).</w:t>
            </w:r>
          </w:p>
          <w:p w14:paraId="6ABA24E9" w14:textId="0D0D1856" w:rsidR="001F5E51" w:rsidRDefault="001F5E51" w:rsidP="001F5E51">
            <w:pPr>
              <w:pStyle w:val="MitBullets"/>
              <w:numPr>
                <w:ilvl w:val="0"/>
                <w:numId w:val="0"/>
              </w:numPr>
              <w:spacing w:before="20" w:after="20"/>
              <w:ind w:left="1134"/>
            </w:pPr>
            <w:r>
              <w:t xml:space="preserve">Telefon do zgłaszania wypadków: </w:t>
            </w:r>
            <w:r>
              <w:rPr>
                <w:b/>
                <w:color w:val="FF0000"/>
                <w:sz w:val="20"/>
              </w:rPr>
              <w:t>wypełnia zakład</w:t>
            </w:r>
          </w:p>
        </w:tc>
      </w:tr>
      <w:tr w:rsidR="001F5E51" w14:paraId="15E67882"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D399A70" w14:textId="77777777" w:rsidR="001F5E51" w:rsidRDefault="001F5E51" w:rsidP="001F5E51">
            <w:pPr>
              <w:spacing w:before="40" w:after="40"/>
              <w:jc w:val="center"/>
              <w:rPr>
                <w:b/>
                <w:color w:val="FFFFFF"/>
                <w:sz w:val="24"/>
              </w:rPr>
            </w:pPr>
            <w:r>
              <w:rPr>
                <w:b/>
                <w:color w:val="FFFFFF"/>
                <w:sz w:val="24"/>
              </w:rPr>
              <w:t>PIERWSZA POMOC</w:t>
            </w:r>
          </w:p>
        </w:tc>
      </w:tr>
      <w:tr w:rsidR="001F5E51" w14:paraId="723CDCB9"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45A9D816" w14:textId="77777777" w:rsidR="001F5E51" w:rsidRDefault="00786142" w:rsidP="001F5E51">
            <w:pPr>
              <w:spacing w:before="20" w:after="20"/>
              <w:ind w:left="40"/>
              <w:jc w:val="center"/>
              <w:rPr>
                <w:sz w:val="8"/>
              </w:rPr>
            </w:pPr>
            <w:r>
              <w:rPr>
                <w:noProof/>
                <w:sz w:val="8"/>
              </w:rPr>
              <w:pict w14:anchorId="75E49815">
                <v:shape id="_x0000_i1025" type="#_x0000_t75" alt="" style="width:52.5pt;height:52.5pt;mso-width-percent:0;mso-height-percent:0;mso-width-percent:0;mso-height-percent:0" fillcolor="window">
                  <v:imagedata r:id="rId8" o:title="ERHI_008"/>
                </v:shape>
              </w:pict>
            </w:r>
          </w:p>
        </w:tc>
        <w:tc>
          <w:tcPr>
            <w:tcW w:w="9014" w:type="dxa"/>
            <w:gridSpan w:val="4"/>
            <w:tcBorders>
              <w:top w:val="nil"/>
              <w:left w:val="nil"/>
              <w:bottom w:val="nil"/>
              <w:right w:val="nil"/>
            </w:tcBorders>
            <w:vAlign w:val="center"/>
          </w:tcPr>
          <w:p w14:paraId="2963BC55" w14:textId="45AD9EF6" w:rsidR="001F5E51" w:rsidRDefault="000E1EF8" w:rsidP="00857B9D">
            <w:pPr>
              <w:pStyle w:val="MitBullets"/>
              <w:numPr>
                <w:ilvl w:val="0"/>
                <w:numId w:val="0"/>
              </w:numPr>
              <w:spacing w:before="20" w:after="20"/>
            </w:pPr>
            <w:r>
              <w:t>W przypadku trudności z oddychaniem, opuścić pomieszczenie i nie dopuścić do dalszego narażenia na pył (w tym z zabrudzonej odzieży roboczej), uspokoić poszkodowanych i jeśli to konieczne, poluzować lub zdjąć krępującą odzież. Skontaktować się z lekarzem. W przypadku mocnej duszności należy wezwać pogotowie ratunkowe/lekarza pogotowia ratunkowego.</w:t>
            </w:r>
            <w:r w:rsidR="00857B9D">
              <w:t xml:space="preserve"> </w:t>
            </w:r>
            <w:r>
              <w:t xml:space="preserve">Osoba odpowiedzialna za pierwszą pomoc: </w:t>
            </w:r>
            <w:r>
              <w:rPr>
                <w:b/>
                <w:color w:val="FF0000"/>
                <w:sz w:val="20"/>
              </w:rPr>
              <w:t>wypełnia zakład</w:t>
            </w:r>
          </w:p>
        </w:tc>
      </w:tr>
      <w:tr w:rsidR="000E1EF8" w14:paraId="444B503D"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3EC88DD" w14:textId="40A0CB88" w:rsidR="000E1EF8" w:rsidRDefault="000E1EF8" w:rsidP="000E1EF8">
            <w:pPr>
              <w:spacing w:before="40" w:after="40"/>
              <w:jc w:val="center"/>
              <w:rPr>
                <w:b/>
                <w:color w:val="FFFFFF"/>
                <w:sz w:val="24"/>
              </w:rPr>
            </w:pPr>
            <w:r>
              <w:rPr>
                <w:b/>
                <w:color w:val="FFFFFF"/>
                <w:sz w:val="24"/>
              </w:rPr>
              <w:t>WŁAŚCIWA UTYLIZACJA</w:t>
            </w:r>
          </w:p>
        </w:tc>
      </w:tr>
      <w:tr w:rsidR="001F5E51" w14:paraId="0DECB13E"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185218B7" w14:textId="791D0EEA" w:rsidR="001F5E51" w:rsidRDefault="001F5E51" w:rsidP="001F5E51">
            <w:pPr>
              <w:spacing w:before="20" w:after="20"/>
              <w:ind w:left="40"/>
              <w:jc w:val="center"/>
              <w:rPr>
                <w:sz w:val="8"/>
              </w:rPr>
            </w:pPr>
            <w:bookmarkStart w:id="0" w:name="Temp"/>
            <w:bookmarkEnd w:id="0"/>
          </w:p>
        </w:tc>
        <w:tc>
          <w:tcPr>
            <w:tcW w:w="9014" w:type="dxa"/>
            <w:gridSpan w:val="4"/>
            <w:tcBorders>
              <w:top w:val="nil"/>
              <w:left w:val="nil"/>
              <w:bottom w:val="nil"/>
              <w:right w:val="nil"/>
            </w:tcBorders>
            <w:vAlign w:val="center"/>
          </w:tcPr>
          <w:p w14:paraId="208AF52E" w14:textId="4EE853C4" w:rsidR="001F5E51" w:rsidRDefault="000E1EF8" w:rsidP="000E1EF8">
            <w:pPr>
              <w:pStyle w:val="MitBullets"/>
              <w:numPr>
                <w:ilvl w:val="0"/>
                <w:numId w:val="0"/>
              </w:numPr>
              <w:spacing w:before="20" w:after="20"/>
            </w:pPr>
            <w:r>
              <w:t>Pozostałości mąki, puste opakowania i pozostałości po czyszczeniu należy utylizować w taki sposób, aby nie powodowały powstawania nowego pyłu.</w:t>
            </w:r>
          </w:p>
        </w:tc>
      </w:tr>
    </w:tbl>
    <w:p w14:paraId="6312D7CA" w14:textId="529E7E13" w:rsidR="000E1EF8" w:rsidRDefault="00786142" w:rsidP="000E1EF8">
      <w:pPr>
        <w:spacing w:before="0"/>
        <w:rPr>
          <w:sz w:val="8"/>
        </w:rPr>
      </w:pPr>
      <w:r>
        <w:rPr>
          <w:b/>
          <w:color w:val="FFFFFF"/>
          <w:sz w:val="24"/>
        </w:rPr>
        <w:pict w14:anchorId="27968802">
          <v:shapetype id="_x0000_t202" coordsize="21600,21600" o:spt="202" path="m,l,21600r21600,l21600,xe">
            <v:stroke joinstyle="miter"/>
            <v:path gradientshapeok="t" o:connecttype="rect"/>
          </v:shapetype>
          <v:shape id="_x0000_s1027" type="#_x0000_t202" alt="" style="position:absolute;margin-left:11.5pt;margin-top:9.75pt;width:475.1pt;height:40.6pt;z-index:251659264;visibility:visible;mso-wrap-style:square;mso-wrap-edited:f;mso-width-percent:0;mso-wrap-distance-left:9pt;mso-wrap-distance-top:3.6pt;mso-wrap-distance-right:9pt;mso-wrap-distance-bottom:3.6pt;mso-position-horizontal-relative:text;mso-position-vertical-relative:text;mso-width-percent:0;mso-width-relative:margin;mso-height-relative:margin;v-text-anchor:top" stroked="f">
            <v:textbox style="mso-next-textbox:#_x0000_s1027">
              <w:txbxContent>
                <w:tbl>
                  <w:tblPr>
                    <w:tblW w:w="11038" w:type="dxa"/>
                    <w:tblInd w:w="-38" w:type="dxa"/>
                    <w:tblLayout w:type="fixed"/>
                    <w:tblCellMar>
                      <w:left w:w="70" w:type="dxa"/>
                      <w:right w:w="70" w:type="dxa"/>
                    </w:tblCellMar>
                    <w:tblLook w:val="00A0" w:firstRow="1" w:lastRow="0" w:firstColumn="1" w:lastColumn="0" w:noHBand="0" w:noVBand="0"/>
                  </w:tblPr>
                  <w:tblGrid>
                    <w:gridCol w:w="5272"/>
                    <w:gridCol w:w="5766"/>
                  </w:tblGrid>
                  <w:tr w:rsidR="00AE233B" w14:paraId="0A4882DC" w14:textId="77777777" w:rsidTr="00CF7D0A">
                    <w:trPr>
                      <w:trHeight w:val="1222"/>
                    </w:trPr>
                    <w:tc>
                      <w:tcPr>
                        <w:tcW w:w="5220" w:type="dxa"/>
                      </w:tcPr>
                      <w:p w14:paraId="26938814" w14:textId="77777777" w:rsidR="00AE233B" w:rsidRPr="00D35BC0" w:rsidRDefault="00AE233B" w:rsidP="00D35BC0">
                        <w:pPr>
                          <w:pStyle w:val="StandardBA"/>
                          <w:ind w:left="142"/>
                          <w:rPr>
                            <w:sz w:val="20"/>
                            <w:szCs w:val="16"/>
                          </w:rPr>
                        </w:pPr>
                        <w:r>
                          <w:rPr>
                            <w:sz w:val="20"/>
                          </w:rPr>
                          <w:t>Data dopuszczenia:</w:t>
                        </w:r>
                      </w:p>
                      <w:p w14:paraId="04D834BF" w14:textId="77777777" w:rsidR="00AE233B" w:rsidRPr="00D35BC0" w:rsidRDefault="00AE233B" w:rsidP="00D35BC0">
                        <w:pPr>
                          <w:pStyle w:val="StandardBA"/>
                          <w:ind w:left="142"/>
                          <w:rPr>
                            <w:sz w:val="20"/>
                            <w:szCs w:val="16"/>
                          </w:rPr>
                        </w:pPr>
                        <w:r>
                          <w:rPr>
                            <w:sz w:val="20"/>
                          </w:rPr>
                          <w:t>Kolejny termin przeglądu niniejszej instrukcji obsługi:</w:t>
                        </w:r>
                      </w:p>
                      <w:p w14:paraId="756C2FD1" w14:textId="77777777" w:rsidR="00AE233B" w:rsidRPr="00D35BC0" w:rsidRDefault="00AE233B" w:rsidP="00D35BC0">
                        <w:pPr>
                          <w:pStyle w:val="StandardBA"/>
                          <w:ind w:left="142"/>
                          <w:rPr>
                            <w:sz w:val="20"/>
                            <w:szCs w:val="16"/>
                          </w:rPr>
                        </w:pPr>
                      </w:p>
                    </w:tc>
                    <w:tc>
                      <w:tcPr>
                        <w:tcW w:w="5710" w:type="dxa"/>
                      </w:tcPr>
                      <w:p w14:paraId="2E54E7AC" w14:textId="2E719207" w:rsidR="00AE233B" w:rsidRPr="00D35BC0" w:rsidRDefault="00AE233B" w:rsidP="00D35BC0">
                        <w:pPr>
                          <w:pStyle w:val="StandardBA"/>
                          <w:ind w:left="142"/>
                          <w:rPr>
                            <w:sz w:val="20"/>
                            <w:szCs w:val="16"/>
                          </w:rPr>
                        </w:pPr>
                        <w:r>
                          <w:rPr>
                            <w:sz w:val="20"/>
                          </w:rPr>
                          <w:t>Podpis:</w:t>
                        </w:r>
                        <w:r>
                          <w:rPr>
                            <w:sz w:val="20"/>
                          </w:rPr>
                          <w:br/>
                        </w:r>
                        <w:r w:rsidR="00857B9D">
                          <w:rPr>
                            <w:sz w:val="20"/>
                          </w:rPr>
                          <w:t>Kierownictwo</w:t>
                        </w:r>
                        <w:r>
                          <w:rPr>
                            <w:sz w:val="20"/>
                          </w:rPr>
                          <w:t>/</w:t>
                        </w:r>
                        <w:r w:rsidR="00857B9D">
                          <w:rPr>
                            <w:sz w:val="20"/>
                          </w:rPr>
                          <w:t>P</w:t>
                        </w:r>
                        <w:r>
                          <w:rPr>
                            <w:sz w:val="20"/>
                          </w:rPr>
                          <w:t>rzełożony</w:t>
                        </w:r>
                      </w:p>
                    </w:tc>
                  </w:tr>
                </w:tbl>
                <w:p w14:paraId="1AD0EF71" w14:textId="77777777" w:rsidR="00AE233B" w:rsidRDefault="00AE233B" w:rsidP="00AE233B"/>
              </w:txbxContent>
            </v:textbox>
            <w10:wrap type="square"/>
          </v:shape>
        </w:pict>
      </w:r>
      <w:r>
        <w:rPr>
          <w:b/>
          <w:color w:val="FFFFFF"/>
          <w:sz w:val="24"/>
        </w:rPr>
        <w:pict w14:anchorId="0FADBECD">
          <v:rect id="_x0000_s1026" alt="" style="position:absolute;margin-left:-7.6pt;margin-top:3.4pt;width:512.2pt;height:6.35pt;z-index:251658240;mso-wrap-edited:f;mso-width-percent:0;mso-height-percent:0;mso-position-horizontal-relative:text;mso-position-vertical-relative:text;mso-width-percent:0;mso-height-percent:0" fillcolor="red" stroked="f"/>
        </w:pict>
      </w:r>
    </w:p>
    <w:sectPr w:rsidR="000E1EF8">
      <w:footerReference w:type="default" r:id="rId9"/>
      <w:pgSz w:w="11906" w:h="16838" w:code="9"/>
      <w:pgMar w:top="79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CB25" w14:textId="77777777" w:rsidR="001A6B2D" w:rsidRDefault="001A6B2D" w:rsidP="001A6B2D">
      <w:pPr>
        <w:spacing w:before="0"/>
      </w:pPr>
      <w:r>
        <w:separator/>
      </w:r>
    </w:p>
  </w:endnote>
  <w:endnote w:type="continuationSeparator" w:id="0">
    <w:p w14:paraId="10AD666E" w14:textId="77777777" w:rsidR="001A6B2D" w:rsidRDefault="001A6B2D" w:rsidP="001A6B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F07A" w14:textId="44FFC192" w:rsidR="001A6B2D" w:rsidRPr="001A6B2D" w:rsidRDefault="001A6B2D" w:rsidP="001A6B2D">
    <w:pPr>
      <w:pStyle w:val="Fuzeile"/>
      <w:jc w:val="right"/>
      <w:rPr>
        <w:sz w:val="18"/>
        <w:szCs w:val="18"/>
      </w:rPr>
    </w:pPr>
    <w:r w:rsidRPr="001A6B2D">
      <w:rPr>
        <w:sz w:val="18"/>
        <w:szCs w:val="18"/>
      </w:rPr>
      <w:t>Mehlstaub ponisch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2969" w14:textId="77777777" w:rsidR="001A6B2D" w:rsidRDefault="001A6B2D" w:rsidP="001A6B2D">
      <w:pPr>
        <w:spacing w:before="0"/>
      </w:pPr>
      <w:r>
        <w:separator/>
      </w:r>
    </w:p>
  </w:footnote>
  <w:footnote w:type="continuationSeparator" w:id="0">
    <w:p w14:paraId="2DBFB8B3" w14:textId="77777777" w:rsidR="001A6B2D" w:rsidRDefault="001A6B2D" w:rsidP="001A6B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D7E3B"/>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2" w15:restartNumberingAfterBreak="0">
    <w:nsid w:val="36965391"/>
    <w:multiLevelType w:val="hybridMultilevel"/>
    <w:tmpl w:val="363E3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D243F"/>
    <w:multiLevelType w:val="hybridMultilevel"/>
    <w:tmpl w:val="DDFEDDC8"/>
    <w:lvl w:ilvl="0" w:tplc="2C9CA7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46977">
    <w:abstractNumId w:val="0"/>
  </w:num>
  <w:num w:numId="2" w16cid:durableId="1385371832">
    <w:abstractNumId w:val="1"/>
  </w:num>
  <w:num w:numId="3" w16cid:durableId="1248464354">
    <w:abstractNumId w:val="2"/>
  </w:num>
  <w:num w:numId="4" w16cid:durableId="1022239913">
    <w:abstractNumId w:val="3"/>
  </w:num>
  <w:num w:numId="5" w16cid:durableId="777678977">
    <w:abstractNumId w:val="1"/>
  </w:num>
  <w:num w:numId="6" w16cid:durableId="87820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C57"/>
    <w:rsid w:val="00037CC5"/>
    <w:rsid w:val="000E1EF8"/>
    <w:rsid w:val="001A6B2D"/>
    <w:rsid w:val="001D167F"/>
    <w:rsid w:val="001E6286"/>
    <w:rsid w:val="001F5E51"/>
    <w:rsid w:val="00342C57"/>
    <w:rsid w:val="003F79DD"/>
    <w:rsid w:val="004976AF"/>
    <w:rsid w:val="004D21E5"/>
    <w:rsid w:val="00581C91"/>
    <w:rsid w:val="005E00CF"/>
    <w:rsid w:val="005E71BB"/>
    <w:rsid w:val="006809B2"/>
    <w:rsid w:val="00694FF0"/>
    <w:rsid w:val="00741B05"/>
    <w:rsid w:val="00786142"/>
    <w:rsid w:val="007953D8"/>
    <w:rsid w:val="00857B9D"/>
    <w:rsid w:val="00AE233B"/>
    <w:rsid w:val="00B63B78"/>
    <w:rsid w:val="00B70259"/>
    <w:rsid w:val="00C71408"/>
    <w:rsid w:val="00CF1201"/>
    <w:rsid w:val="00D67E35"/>
    <w:rsid w:val="00E407FB"/>
    <w:rsid w:val="00F33886"/>
    <w:rsid w:val="00F37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DCDBC69"/>
  <w15:chartTrackingRefBased/>
  <w15:docId w15:val="{AD665266-DDC8-40F4-B5D3-5ECB361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pPr>
    <w:rPr>
      <w:rFonts w:ascii="Arial" w:hAnsi="Arial"/>
      <w:sz w:val="22"/>
      <w:lang w:eastAsia="de-DE"/>
    </w:rPr>
  </w:style>
  <w:style w:type="paragraph" w:styleId="berschrift1">
    <w:name w:val="heading 1"/>
    <w:basedOn w:val="Standard"/>
    <w:next w:val="Standard"/>
    <w:qFormat/>
    <w:pPr>
      <w:keepNext/>
      <w:jc w:val="right"/>
      <w:outlineLvl w:val="0"/>
    </w:pPr>
    <w:rPr>
      <w:b/>
      <w:color w:val="FFFFFF"/>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spacing w:after="40"/>
      <w:jc w:val="center"/>
      <w:outlineLvl w:val="2"/>
    </w:pPr>
    <w:rPr>
      <w:b/>
      <w:color w:val="FFFFFF"/>
      <w:sz w:val="24"/>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spacing w:after="20"/>
      <w:jc w:val="center"/>
      <w:outlineLvl w:val="5"/>
    </w:pPr>
    <w:rPr>
      <w:b/>
      <w:sz w:val="28"/>
    </w:rPr>
  </w:style>
  <w:style w:type="paragraph" w:styleId="berschrift7">
    <w:name w:val="heading 7"/>
    <w:basedOn w:val="Standard"/>
    <w:next w:val="Standard"/>
    <w:qFormat/>
    <w:pPr>
      <w:keepNext/>
      <w:tabs>
        <w:tab w:val="left" w:pos="3345"/>
      </w:tabs>
      <w:spacing w:before="20" w:after="20"/>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A">
    <w:name w:val="Standard_BA"/>
    <w:rsid w:val="00AE233B"/>
    <w:rPr>
      <w:rFonts w:ascii="Arial" w:hAnsi="Arial"/>
      <w:sz w:val="24"/>
      <w:lang w:eastAsia="de-DE"/>
    </w:rPr>
  </w:style>
  <w:style w:type="paragraph" w:customStyle="1" w:styleId="MitBullets">
    <w:name w:val="MitBullets"/>
    <w:basedOn w:val="Standard"/>
    <w:pPr>
      <w:numPr>
        <w:numId w:val="2"/>
      </w:numPr>
      <w:tabs>
        <w:tab w:val="left" w:pos="170"/>
      </w:tabs>
    </w:pPr>
  </w:style>
  <w:style w:type="paragraph" w:customStyle="1" w:styleId="TitelNormal">
    <w:name w:val="TitelNormal"/>
    <w:basedOn w:val="Standard"/>
    <w:pPr>
      <w:spacing w:before="40" w:after="40"/>
      <w:jc w:val="center"/>
    </w:pPr>
    <w:rPr>
      <w:b/>
      <w:color w:val="FFFFFF"/>
      <w:sz w:val="24"/>
    </w:rPr>
  </w:style>
  <w:style w:type="paragraph" w:customStyle="1" w:styleId="TitelNotruf">
    <w:name w:val="TitelNotruf"/>
    <w:basedOn w:val="Standard"/>
    <w:pPr>
      <w:shd w:val="clear" w:color="auto" w:fill="FFFFFF"/>
      <w:spacing w:before="40"/>
      <w:jc w:val="center"/>
    </w:pPr>
    <w:rPr>
      <w:b/>
      <w:color w:val="000000"/>
      <w:sz w:val="24"/>
    </w:rPr>
  </w:style>
  <w:style w:type="paragraph" w:styleId="Kopfzeile">
    <w:name w:val="header"/>
    <w:basedOn w:val="Standard"/>
    <w:link w:val="KopfzeileZchn"/>
    <w:rsid w:val="001A6B2D"/>
    <w:pPr>
      <w:tabs>
        <w:tab w:val="center" w:pos="4536"/>
        <w:tab w:val="right" w:pos="9072"/>
      </w:tabs>
    </w:pPr>
  </w:style>
  <w:style w:type="character" w:customStyle="1" w:styleId="KopfzeileZchn">
    <w:name w:val="Kopfzeile Zchn"/>
    <w:basedOn w:val="Absatz-Standardschriftart"/>
    <w:link w:val="Kopfzeile"/>
    <w:rsid w:val="001A6B2D"/>
    <w:rPr>
      <w:rFonts w:ascii="Arial" w:hAnsi="Arial"/>
      <w:sz w:val="22"/>
      <w:lang w:eastAsia="de-DE"/>
    </w:rPr>
  </w:style>
  <w:style w:type="paragraph" w:styleId="Fuzeile">
    <w:name w:val="footer"/>
    <w:basedOn w:val="Standard"/>
    <w:link w:val="FuzeileZchn"/>
    <w:rsid w:val="001A6B2D"/>
    <w:pPr>
      <w:tabs>
        <w:tab w:val="center" w:pos="4536"/>
        <w:tab w:val="right" w:pos="9072"/>
      </w:tabs>
    </w:pPr>
  </w:style>
  <w:style w:type="character" w:customStyle="1" w:styleId="FuzeileZchn">
    <w:name w:val="Fußzeile Zchn"/>
    <w:basedOn w:val="Absatz-Standardschriftart"/>
    <w:link w:val="Fuzeile"/>
    <w:rsid w:val="001A6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Betran32.Dot</Template>
  <TotalTime>0</TotalTime>
  <Pages>1</Pages>
  <Words>380</Words>
  <Characters>2399</Characters>
  <Application>Microsoft Office Word</Application>
  <DocSecurity>0</DocSecurity>
  <Lines>19</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Mann's EDV Service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User</dc:creator>
  <cp:keywords>-</cp:keywords>
  <cp:lastModifiedBy>Hannig, Manfred</cp:lastModifiedBy>
  <cp:revision>2</cp:revision>
  <cp:lastPrinted>1999-07-15T11:13:00Z</cp:lastPrinted>
  <dcterms:created xsi:type="dcterms:W3CDTF">2024-03-11T12:03:00Z</dcterms:created>
  <dcterms:modified xsi:type="dcterms:W3CDTF">2024-03-11T12:03:00Z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2024-03-11T11:43:00Z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2a3305d5-9892-4c68-b6c9-8a9d786bb0e5</vt:lpwstr>
  </property>
  <property fmtid="{D5CDD505-2E9C-101B-9397-08002B2CF9AE}" pid="7" name="MSIP_Label_defa4170-0d19-0005-0004-bc88714345d2_ActionId">
    <vt:lpwstr>c9657574-e123-4dbc-8c8c-f0905490d2fd</vt:lpwstr>
  </property>
  <property fmtid="{D5CDD505-2E9C-101B-9397-08002B2CF9AE}" pid="8" name="MSIP_Label_defa4170-0d19-0005-0004-bc88714345d2_ContentBits">
    <vt:lpwstr>0</vt:lpwstr>
  </property>
</Properties>
</file>