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267" w14:textId="6542E4A1" w:rsidR="009E7C9B" w:rsidRDefault="007406F7" w:rsidP="008C451B">
      <w:pPr>
        <w:pStyle w:val="berschrift2"/>
      </w:pPr>
      <w:r>
        <w:rPr>
          <w:snapToGrid w:val="0"/>
        </w:rPr>
        <w:pict w14:anchorId="1F9B5819">
          <v:rect id="_x0000_s1026" alt="" style="position:absolute;margin-left:-4.35pt;margin-top:4.75pt;width:548.4pt;height:780.25pt;z-index:251657216;mso-wrap-edited:f;mso-width-percent:0;mso-height-percent:0;mso-position-horizontal-relative:text;mso-position-vertical-relative:text;mso-width-percent:0;mso-height-percent:0" o:allowincell="f" filled="f" strokecolor="blue" strokeweight="6pt"/>
        </w:pict>
      </w:r>
      <w:r>
        <w:pict w14:anchorId="258F716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margin-left:392.35pt;margin-top:9.15pt;width:138pt;height:54pt;z-index:251659264;mso-wrap-style:square;mso-wrap-edited:f;mso-width-percent:0;mso-height-percent:0;mso-width-percent:0;mso-height-percent:0;v-text-anchor:top" o:allowincell="f" stroked="f">
            <v:textbox style="mso-next-textbox:#_x0000_s1029" inset=",0">
              <w:txbxContent>
                <w:p w14:paraId="49D4C96E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03405CE7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Nazwa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zakładu</w:t>
                  </w:r>
                </w:p>
              </w:txbxContent>
            </v:textbox>
          </v:shape>
        </w:pict>
      </w:r>
      <w:r>
        <w:rPr>
          <w:sz w:val="20"/>
        </w:rPr>
        <w:pict w14:anchorId="0AFD55DB">
          <v:shape id="_x0000_s1028" type="#_x0000_t202" alt="" style="position:absolute;margin-left:160.1pt;margin-top:1.05pt;width:238.45pt;height:57.05pt;z-index:251656192;mso-wrap-style:square;mso-wrap-edited:f;mso-width-percent:0;mso-height-percent:0;mso-width-percent:0;mso-height-percent:0;v-text-anchor:top" o:allowincell="f" filled="f" stroked="f">
            <v:textbox style="mso-next-textbox:#_x0000_s1028">
              <w:txbxContent>
                <w:p w14:paraId="360BC5C6" w14:textId="77777777"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Instrukcja obsługi</w:t>
                  </w:r>
                </w:p>
                <w:p w14:paraId="7CAF0648" w14:textId="77777777" w:rsidR="009E7C9B" w:rsidRDefault="00BE773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Zapobieganie napadom i stosowanie środków płatniczych</w:t>
                  </w:r>
                </w:p>
              </w:txbxContent>
            </v:textbox>
          </v:shape>
        </w:pict>
      </w:r>
      <w:r w:rsidR="00581A0A">
        <w:t>Numer:</w:t>
      </w:r>
    </w:p>
    <w:p w14:paraId="306359E4" w14:textId="4044D0B7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Numer: </w:t>
      </w:r>
      <w:r>
        <w:rPr>
          <w:color w:val="FF0000"/>
        </w:rPr>
        <w:t>proszę wpisać</w:t>
      </w:r>
    </w:p>
    <w:p w14:paraId="6E7C5CD0" w14:textId="75F094F3" w:rsidR="007970C9" w:rsidRDefault="007970C9" w:rsidP="002E5139">
      <w:pPr>
        <w:pStyle w:val="StandardBA"/>
        <w:rPr>
          <w:color w:val="FF0000"/>
        </w:rPr>
      </w:pPr>
      <w:r>
        <w:t xml:space="preserve">Data: </w:t>
      </w:r>
      <w:r>
        <w:rPr>
          <w:color w:val="FF0000"/>
        </w:rPr>
        <w:t>proszę wpisać</w:t>
      </w:r>
    </w:p>
    <w:p w14:paraId="3401815D" w14:textId="77777777" w:rsidR="007970C9" w:rsidRDefault="007970C9" w:rsidP="002E5139">
      <w:pPr>
        <w:pStyle w:val="StandardBA"/>
      </w:pPr>
      <w:r>
        <w:t xml:space="preserve">Osoba odpowiedzialna: </w:t>
      </w:r>
      <w:r>
        <w:rPr>
          <w:color w:val="FF0000"/>
        </w:rPr>
        <w:t>Nazwa i numer telefonu</w:t>
      </w:r>
    </w:p>
    <w:p w14:paraId="38CC928B" w14:textId="0705CC14" w:rsidR="007970C9" w:rsidRPr="00B95581" w:rsidRDefault="00581A0A" w:rsidP="007970C9">
      <w:pPr>
        <w:pStyle w:val="StandardBA"/>
        <w:rPr>
          <w:sz w:val="22"/>
          <w:szCs w:val="18"/>
        </w:rPr>
      </w:pPr>
      <w:r>
        <w:t xml:space="preserve">Miejsce pracy/Zakres obowiązków: </w:t>
      </w:r>
      <w:r>
        <w:rPr>
          <w:i/>
          <w:color w:val="FF0000"/>
          <w:sz w:val="22"/>
        </w:rPr>
        <w:t>Tutaj wpisać zakres (np. dział, miejsce pracy, pomieszczenie).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78"/>
        <w:gridCol w:w="4612"/>
        <w:gridCol w:w="1080"/>
        <w:gridCol w:w="18"/>
        <w:gridCol w:w="20"/>
      </w:tblGrid>
      <w:tr w:rsidR="009E7C9B" w14:paraId="0A114070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1B1EBC75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530A5CE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Zakres stosowania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36558662" w14:textId="73E34AAC" w:rsidR="009E7C9B" w:rsidRDefault="009E7C9B">
            <w:pPr>
              <w:pStyle w:val="StandardBA"/>
            </w:pPr>
          </w:p>
        </w:tc>
      </w:tr>
      <w:tr w:rsidR="009E7C9B" w14:paraId="23C0A165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2E1AC34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698247A" w14:textId="519892C1"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14:paraId="05BC3125" w14:textId="77777777" w:rsidR="009E7C9B" w:rsidRPr="00426CB9" w:rsidRDefault="007970C9" w:rsidP="0074711F">
            <w:pPr>
              <w:pStyle w:val="FormatvorlageAnwendungsbereich"/>
            </w:pPr>
            <w:r>
              <w:t xml:space="preserve">                    Zapobieganie napadom i stosowanie środków płatniczych</w:t>
            </w:r>
          </w:p>
          <w:p w14:paraId="1FB5FD3C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401457FA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2FFC54D1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E4EA772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Osoby kontaktowe z numerami telefonów do zgłaszania sytuacji awaryjnych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A7AB23B" w14:textId="77777777" w:rsidR="009E7C9B" w:rsidRDefault="009E7C9B">
            <w:pPr>
              <w:pStyle w:val="StandardBA"/>
            </w:pPr>
          </w:p>
        </w:tc>
      </w:tr>
      <w:tr w:rsidR="009E7C9B" w14:paraId="53AFCFBC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677FE3CA" w14:textId="77777777" w:rsidR="00AD6B6C" w:rsidRDefault="00AD6B6C" w:rsidP="00426CB9">
            <w:pPr>
              <w:pStyle w:val="StandardBA"/>
              <w:rPr>
                <w:noProof/>
              </w:rPr>
            </w:pPr>
          </w:p>
          <w:p w14:paraId="3052B1A6" w14:textId="77777777" w:rsidR="007970C9" w:rsidRDefault="007406F7" w:rsidP="00426CB9">
            <w:pPr>
              <w:pStyle w:val="StandardBA"/>
            </w:pPr>
            <w:r>
              <w:rPr>
                <w:noProof/>
              </w:rPr>
              <w:pict w14:anchorId="51378A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4pt;height:53.4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19C6F89D" w14:textId="6BDD45E4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Policja              </w:t>
            </w:r>
            <w:r w:rsidR="00E61F0E">
              <w:rPr>
                <w:sz w:val="20"/>
              </w:rPr>
              <w:t xml:space="preserve">                                                                 </w:t>
            </w:r>
            <w:r w:rsidR="007F7E33">
              <w:rPr>
                <w:sz w:val="20"/>
              </w:rPr>
              <w:t xml:space="preserve"> </w:t>
            </w:r>
            <w:r w:rsidR="00E61F0E">
              <w:rPr>
                <w:sz w:val="20"/>
              </w:rPr>
              <w:t xml:space="preserve"> </w:t>
            </w:r>
            <w:r>
              <w:rPr>
                <w:sz w:val="20"/>
              </w:rPr>
              <w:t>Tel.:</w:t>
            </w:r>
          </w:p>
          <w:p w14:paraId="013C5D01" w14:textId="28CE289C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Lekarz pogotowia            </w:t>
            </w:r>
            <w:r w:rsidR="00E61F0E">
              <w:rPr>
                <w:sz w:val="20"/>
              </w:rPr>
              <w:t xml:space="preserve">                                                   </w:t>
            </w:r>
            <w:r>
              <w:rPr>
                <w:sz w:val="20"/>
              </w:rPr>
              <w:t>Tel.:</w:t>
            </w:r>
          </w:p>
          <w:p w14:paraId="03C8AB29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Opieka duszpasterska w nagłych przypadkach                 Tel.:</w:t>
            </w:r>
          </w:p>
          <w:p w14:paraId="445AF56C" w14:textId="7F333C8E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Sąsiedzi                            </w:t>
            </w:r>
            <w:r w:rsidR="00E61F0E">
              <w:rPr>
                <w:sz w:val="20"/>
              </w:rPr>
              <w:t xml:space="preserve">                                                  </w:t>
            </w:r>
            <w:r>
              <w:rPr>
                <w:sz w:val="20"/>
              </w:rPr>
              <w:t>Tel.:</w:t>
            </w:r>
          </w:p>
          <w:p w14:paraId="7086180A" w14:textId="06CE1E10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Przedsiębiorca / Centrala      </w:t>
            </w:r>
            <w:r w:rsidR="00E61F0E">
              <w:rPr>
                <w:sz w:val="20"/>
              </w:rPr>
              <w:t xml:space="preserve">                                             </w:t>
            </w:r>
            <w:r>
              <w:rPr>
                <w:sz w:val="20"/>
              </w:rPr>
              <w:t>Tel.:</w:t>
            </w:r>
          </w:p>
          <w:p w14:paraId="571820D1" w14:textId="03A91C70" w:rsidR="00BE773C" w:rsidRPr="00BE773C" w:rsidRDefault="001413C5" w:rsidP="007610BF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Stowarzyszenie Branży Spożywczej i Hotelarskiej [BGN]  </w:t>
            </w:r>
            <w:r w:rsidR="00E61F0E">
              <w:rPr>
                <w:sz w:val="20"/>
              </w:rPr>
              <w:t>T</w:t>
            </w:r>
            <w:r>
              <w:rPr>
                <w:sz w:val="20"/>
              </w:rPr>
              <w:t>el.: 0621 4456-0</w:t>
            </w:r>
          </w:p>
        </w:tc>
      </w:tr>
      <w:tr w:rsidR="009E7C9B" w14:paraId="041B29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1AC14906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Obsługa środków płatniczych w firmie</w:t>
            </w:r>
          </w:p>
        </w:tc>
      </w:tr>
      <w:tr w:rsidR="00297742" w14:paraId="276DBF80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2125F12D" w14:textId="77777777" w:rsidR="00297742" w:rsidRDefault="00297742" w:rsidP="0079167E">
            <w:pPr>
              <w:pStyle w:val="StandardBA"/>
            </w:pPr>
          </w:p>
          <w:p w14:paraId="47A21C45" w14:textId="77777777" w:rsidR="00297742" w:rsidRPr="009F3EE8" w:rsidRDefault="007406F7" w:rsidP="0079167E">
            <w:pPr>
              <w:pStyle w:val="StandardBA"/>
            </w:pPr>
            <w:r>
              <w:rPr>
                <w:noProof/>
              </w:rPr>
              <w:pict w14:anchorId="5AD66505">
                <v:shape id="_x0000_i1026" type="#_x0000_t75" alt="" style="width:46.8pt;height:45.6pt;visibility:visible;mso-wrap-style:square;mso-width-percent:0;mso-height-percent:0;mso-width-percent:0;mso-height-percent:0">
                  <v:imagedata r:id="rId8" o:title=""/>
                </v:shape>
              </w:pict>
            </w:r>
          </w:p>
          <w:p w14:paraId="31236380" w14:textId="77777777" w:rsidR="00297742" w:rsidRDefault="00297742" w:rsidP="0079167E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5ACF693" w14:textId="77777777"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477C2D69" w14:textId="77777777" w:rsidR="00297742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Po dokonaniu wpłaty należy natychmiast zamknąć kasę.</w:t>
            </w:r>
          </w:p>
          <w:p w14:paraId="01E6DDFB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Natychmiast zabrać i zabezpieczyć kwoty powyżej ____ € (np. w sejfie).</w:t>
            </w:r>
          </w:p>
          <w:p w14:paraId="10DE8894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Nie zabierać ze sobą do domu żadnych kwot pieniężnych.</w:t>
            </w:r>
          </w:p>
          <w:p w14:paraId="442A578E" w14:textId="77777777" w:rsidR="002048FA" w:rsidRPr="00426CB9" w:rsidRDefault="002048FA" w:rsidP="00AD6B6C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20"/>
              </w:rPr>
              <w:t>Liczyć i gromadzić pieniądze za zamkniętymi drzwiami, uniemożliwiając dostęp z zewnątrz.</w:t>
            </w:r>
          </w:p>
        </w:tc>
      </w:tr>
      <w:tr w:rsidR="00297742" w14:paraId="2EB3EC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38584DF8" w14:textId="77777777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Transport pieniędzy</w:t>
            </w:r>
          </w:p>
        </w:tc>
      </w:tr>
      <w:tr w:rsidR="00297742" w14:paraId="45724BDF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4796EA0B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039D7CD2" w14:textId="77777777" w:rsidR="00297742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Postępować zgodnie z ustaloną procedurą legitymizacji i przekazywania pieniędzy firmom zajmującym się transportem gotówki.</w:t>
            </w:r>
          </w:p>
          <w:p w14:paraId="4BCA2914" w14:textId="77777777" w:rsidR="002048FA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W przypadku transportu pieniędzy wykonywanych przez własnych pracowników:</w:t>
            </w:r>
          </w:p>
          <w:p w14:paraId="2596C53A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Realizować przynajmniej przez dwie osoby i w odpowiednim pojemniku na gotówkę.</w:t>
            </w:r>
          </w:p>
          <w:p w14:paraId="2418F732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Transport gotówki przeprowadzać w różnym czasie.</w:t>
            </w:r>
          </w:p>
          <w:p w14:paraId="6CD00AAF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Zawsze zmieniać trasę przejazdu.</w:t>
            </w:r>
          </w:p>
          <w:p w14:paraId="0436CD65" w14:textId="77777777" w:rsidR="002048FA" w:rsidRDefault="002048FA" w:rsidP="001413C5">
            <w:pPr>
              <w:pStyle w:val="FormatvorlageRegeln"/>
              <w:keepNext/>
              <w:ind w:left="681"/>
            </w:pPr>
            <w:r>
              <w:rPr>
                <w:sz w:val="20"/>
              </w:rPr>
              <w:t>Kontrola wzrokowa terenu na zewnątrz przed opuszczeniem firmy, np. przez wizjer drzwiowy.</w:t>
            </w:r>
          </w:p>
        </w:tc>
      </w:tr>
      <w:tr w:rsidR="00297742" w14:paraId="3502417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4CD57BFC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Zachowanie podczas napadu</w:t>
            </w:r>
          </w:p>
        </w:tc>
      </w:tr>
      <w:tr w:rsidR="00297742" w14:paraId="26425FC1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959685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FBC3992" w14:textId="77777777" w:rsidR="00297742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Zachować spokój i „nie zgrywać” bohatera.</w:t>
            </w:r>
          </w:p>
          <w:p w14:paraId="62F953EE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Postępować zgodnie z żądaniami sprawcy.</w:t>
            </w:r>
          </w:p>
          <w:p w14:paraId="1215ACA7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Nie używać broni ani niczego podobnego.</w:t>
            </w:r>
          </w:p>
          <w:p w14:paraId="648D3851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Nie prowokować sprawcy.</w:t>
            </w:r>
          </w:p>
          <w:p w14:paraId="18B6575E" w14:textId="77777777" w:rsidR="002048FA" w:rsidRDefault="002048FA">
            <w:pPr>
              <w:pStyle w:val="FormatvorlageRegeln"/>
            </w:pPr>
            <w:r>
              <w:rPr>
                <w:sz w:val="20"/>
              </w:rPr>
              <w:t>Nie blokować drogi ewakuacyjnej.</w:t>
            </w:r>
          </w:p>
        </w:tc>
      </w:tr>
      <w:tr w:rsidR="00297742" w14:paraId="17BECB9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604834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Zachowanie po napadzie</w:t>
            </w:r>
          </w:p>
        </w:tc>
      </w:tr>
      <w:tr w:rsidR="00297742" w14:paraId="4AF075D7" w14:textId="77777777" w:rsidTr="001413C5">
        <w:trPr>
          <w:gridBefore w:val="1"/>
          <w:wBefore w:w="38" w:type="dxa"/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14:paraId="0D95D58C" w14:textId="31CA1206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82E2657" w14:textId="77777777" w:rsidR="00297742" w:rsidRPr="00AD6B6C" w:rsidRDefault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Natychmiastowa opieka nad ofiarami:</w:t>
            </w:r>
          </w:p>
          <w:p w14:paraId="2D81A036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Działać w sposób uspokajający.</w:t>
            </w:r>
          </w:p>
          <w:p w14:paraId="60EC11D4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Wyjaśniać potrzeby (np. informowanie bliskich, kontakt z lekarzem).</w:t>
            </w:r>
          </w:p>
          <w:p w14:paraId="5B74E687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Zorganizować pomoc.</w:t>
            </w:r>
          </w:p>
          <w:p w14:paraId="2EBCB431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Poprosić obecnych o pomoc.</w:t>
            </w:r>
          </w:p>
          <w:p w14:paraId="18598BE7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Przesłać zgłoszenia: </w:t>
            </w:r>
          </w:p>
          <w:p w14:paraId="3E58D710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Poinformować policję.</w:t>
            </w:r>
          </w:p>
          <w:p w14:paraId="713F58DA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Poinformować BGN.</w:t>
            </w:r>
          </w:p>
          <w:p w14:paraId="26408D72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W przypadku firmy: </w:t>
            </w:r>
          </w:p>
          <w:p w14:paraId="157F17C6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Zorganizować dalszą opiekę dla ofiar.</w:t>
            </w:r>
          </w:p>
          <w:p w14:paraId="47BFB3BD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Utrzymać kontakt z ofiarami.</w:t>
            </w:r>
          </w:p>
          <w:p w14:paraId="205F24F7" w14:textId="77777777" w:rsidR="00AD6B6C" w:rsidRPr="00E275D9" w:rsidRDefault="00AD6B6C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sz w:val="20"/>
              </w:rPr>
              <w:t>W razie potrzeby dostosować plan pracy.</w:t>
            </w:r>
          </w:p>
          <w:p w14:paraId="64BD3D95" w14:textId="2EB7F0E7" w:rsidR="00E275D9" w:rsidRPr="00AD6B6C" w:rsidRDefault="00E275D9" w:rsidP="007610BF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sz w:val="20"/>
              </w:rPr>
              <w:t>Jeśli to możliwe, wspólnie z ofiarą wypełnić kartę z danymi osoby ściganej.</w:t>
            </w:r>
          </w:p>
        </w:tc>
      </w:tr>
      <w:tr w:rsidR="00297742" w14:paraId="51185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05E5847D" w14:textId="30224B85" w:rsidR="00297742" w:rsidRDefault="007406F7">
            <w:pPr>
              <w:pStyle w:val="StandardBA"/>
            </w:pPr>
            <w:r>
              <w:rPr>
                <w:b/>
                <w:color w:val="FFFFFF"/>
                <w:sz w:val="28"/>
              </w:rPr>
              <w:pict w14:anchorId="33D36E34">
                <v:rect id="_x0000_s1027" alt="" style="position:absolute;margin-left:-2.45pt;margin-top:-.55pt;width:548.4pt;height:3.55pt;flip:y;z-index:251658240;mso-wrap-edited:f;mso-width-percent:0;mso-height-percent:0;mso-position-horizontal-relative:text;mso-position-vertical-relative:text;mso-width-percent:0;mso-height-percent:0" filled="f" strokecolor="blue" strokeweight="6pt"/>
              </w:pict>
            </w:r>
          </w:p>
        </w:tc>
      </w:tr>
      <w:tr w:rsidR="0005718B" w:rsidRPr="00E275D9" w14:paraId="7BDB0E03" w14:textId="77777777" w:rsidTr="0033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361A1424" w14:textId="77777777" w:rsidR="0005718B" w:rsidRPr="00E275D9" w:rsidRDefault="0005718B" w:rsidP="0033627B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</w:rPr>
              <w:t>Data dopuszczenia:</w:t>
            </w:r>
          </w:p>
          <w:p w14:paraId="4E30D84F" w14:textId="77777777" w:rsidR="0005718B" w:rsidRPr="00E275D9" w:rsidRDefault="0005718B" w:rsidP="0033627B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</w:rPr>
              <w:t>Kolejny termin przeglądu niniejszej instrukcji obsługi:</w:t>
            </w:r>
          </w:p>
          <w:p w14:paraId="42E72B50" w14:textId="77777777" w:rsidR="0005718B" w:rsidRPr="00E275D9" w:rsidRDefault="0005718B" w:rsidP="0033627B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710" w:type="dxa"/>
            <w:gridSpan w:val="3"/>
          </w:tcPr>
          <w:p w14:paraId="18226DCD" w14:textId="77777777" w:rsidR="0005718B" w:rsidRPr="00E275D9" w:rsidRDefault="0005718B" w:rsidP="0033627B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</w:rPr>
              <w:t>Podpis:</w:t>
            </w:r>
            <w:r>
              <w:rPr>
                <w:sz w:val="20"/>
              </w:rPr>
              <w:br/>
              <w:t>Kierownictwo/Przełożony</w:t>
            </w:r>
          </w:p>
        </w:tc>
      </w:tr>
    </w:tbl>
    <w:p w14:paraId="75E6C718" w14:textId="77777777" w:rsidR="0005718B" w:rsidRPr="00426CB9" w:rsidRDefault="0005718B" w:rsidP="0005718B">
      <w:pPr>
        <w:pStyle w:val="StandardBA"/>
        <w:ind w:left="142"/>
        <w:rPr>
          <w:b/>
          <w:sz w:val="22"/>
          <w:szCs w:val="18"/>
        </w:rPr>
      </w:pPr>
      <w:r>
        <w:rPr>
          <w:b/>
          <w:i/>
          <w:color w:val="FF0000"/>
          <w:sz w:val="22"/>
        </w:rPr>
        <w:t>Niniejsza przykładowa instrukcja obsługi musi być dostosowana do warunków panujących w danym przedsiębiorstwie!</w:t>
      </w:r>
    </w:p>
    <w:p w14:paraId="4378371A" w14:textId="77777777" w:rsidR="0005718B" w:rsidRPr="00426CB9" w:rsidRDefault="0005718B" w:rsidP="0005718B">
      <w:pPr>
        <w:pStyle w:val="StandardBA"/>
        <w:rPr>
          <w:b/>
          <w:sz w:val="22"/>
          <w:szCs w:val="18"/>
        </w:rPr>
      </w:pPr>
    </w:p>
    <w:sectPr w:rsidR="0005718B" w:rsidRPr="00426CB9" w:rsidSect="007406F7">
      <w:footerReference w:type="default" r:id="rId9"/>
      <w:pgSz w:w="11906" w:h="16838" w:code="9"/>
      <w:pgMar w:top="284" w:right="567" w:bottom="0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631B" w14:textId="77777777" w:rsidR="00DC1B7D" w:rsidRDefault="00DC1B7D">
      <w:r>
        <w:separator/>
      </w:r>
    </w:p>
  </w:endnote>
  <w:endnote w:type="continuationSeparator" w:id="0">
    <w:p w14:paraId="5CE342B4" w14:textId="77777777" w:rsidR="00DC1B7D" w:rsidRDefault="00D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D02" w14:textId="77777777" w:rsidR="007406F7" w:rsidRDefault="004F4E68" w:rsidP="004F4E68">
    <w:pPr>
      <w:pStyle w:val="Fuzeile"/>
      <w:jc w:val="right"/>
      <w:rPr>
        <w:color w:val="808080"/>
        <w:sz w:val="16"/>
      </w:rPr>
    </w:pPr>
    <w:r>
      <w:rPr>
        <w:color w:val="808080"/>
        <w:sz w:val="16"/>
      </w:rPr>
      <w:t>Stan przykładowego dokumentu: 26.06.2020</w:t>
    </w:r>
  </w:p>
  <w:p w14:paraId="4A0FE45D" w14:textId="28D6DFC7" w:rsidR="004F4E68" w:rsidRPr="00392DD3" w:rsidRDefault="007406F7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</w:rPr>
      <w:t>Überfallprävention polnisch</w:t>
    </w:r>
    <w:r w:rsidR="004F4E68">
      <w:rPr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ABB5" w14:textId="77777777" w:rsidR="00DC1B7D" w:rsidRDefault="00DC1B7D">
      <w:r>
        <w:separator/>
      </w:r>
    </w:p>
  </w:footnote>
  <w:footnote w:type="continuationSeparator" w:id="0">
    <w:p w14:paraId="3FF25D4E" w14:textId="77777777" w:rsidR="00DC1B7D" w:rsidRDefault="00DC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946372">
    <w:abstractNumId w:val="3"/>
  </w:num>
  <w:num w:numId="2" w16cid:durableId="1203248059">
    <w:abstractNumId w:val="6"/>
  </w:num>
  <w:num w:numId="3" w16cid:durableId="1859539388">
    <w:abstractNumId w:val="5"/>
  </w:num>
  <w:num w:numId="4" w16cid:durableId="1529558944">
    <w:abstractNumId w:val="10"/>
  </w:num>
  <w:num w:numId="5" w16cid:durableId="1013999665">
    <w:abstractNumId w:val="7"/>
  </w:num>
  <w:num w:numId="6" w16cid:durableId="972833860">
    <w:abstractNumId w:val="4"/>
  </w:num>
  <w:num w:numId="7" w16cid:durableId="814447115">
    <w:abstractNumId w:val="1"/>
  </w:num>
  <w:num w:numId="8" w16cid:durableId="716928221">
    <w:abstractNumId w:val="8"/>
  </w:num>
  <w:num w:numId="9" w16cid:durableId="716664386">
    <w:abstractNumId w:val="9"/>
  </w:num>
  <w:num w:numId="10" w16cid:durableId="1005597284">
    <w:abstractNumId w:val="2"/>
  </w:num>
  <w:num w:numId="11" w16cid:durableId="1075476741">
    <w:abstractNumId w:val="2"/>
  </w:num>
  <w:num w:numId="12" w16cid:durableId="4759985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5718B"/>
    <w:rsid w:val="000E274B"/>
    <w:rsid w:val="00107758"/>
    <w:rsid w:val="001413C5"/>
    <w:rsid w:val="002048FA"/>
    <w:rsid w:val="00297742"/>
    <w:rsid w:val="00326B13"/>
    <w:rsid w:val="0040561A"/>
    <w:rsid w:val="00426CB9"/>
    <w:rsid w:val="00427954"/>
    <w:rsid w:val="0044321F"/>
    <w:rsid w:val="00497B5C"/>
    <w:rsid w:val="004F4E68"/>
    <w:rsid w:val="00581A0A"/>
    <w:rsid w:val="006306C7"/>
    <w:rsid w:val="007406F7"/>
    <w:rsid w:val="0074711F"/>
    <w:rsid w:val="007610BF"/>
    <w:rsid w:val="0079167E"/>
    <w:rsid w:val="007970C9"/>
    <w:rsid w:val="007F7E33"/>
    <w:rsid w:val="008B2F9C"/>
    <w:rsid w:val="008C451B"/>
    <w:rsid w:val="00947FBB"/>
    <w:rsid w:val="009E7C9B"/>
    <w:rsid w:val="009F3EE8"/>
    <w:rsid w:val="00AD6B6C"/>
    <w:rsid w:val="00B22CA2"/>
    <w:rsid w:val="00B476D8"/>
    <w:rsid w:val="00BA4F81"/>
    <w:rsid w:val="00BD6086"/>
    <w:rsid w:val="00BE773C"/>
    <w:rsid w:val="00BF7461"/>
    <w:rsid w:val="00CE43FA"/>
    <w:rsid w:val="00D355B7"/>
    <w:rsid w:val="00D379DD"/>
    <w:rsid w:val="00DC1B7D"/>
    <w:rsid w:val="00DD0937"/>
    <w:rsid w:val="00DD46F9"/>
    <w:rsid w:val="00E275D9"/>
    <w:rsid w:val="00E61F0E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AE2E722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  <w:lang w:eastAsia="de-DE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Blankoforlage Maschinen-Betriebsanweisung</vt:lpstr>
      <vt:lpstr>Blankoforlage Maschinen-Betriebsanweisung</vt:lpstr>
    </vt:vector>
  </TitlesOfParts>
  <Company>BGN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2024-03-11T11:47:00Z</dcterms:created>
  <dcterms:modified xsi:type="dcterms:W3CDTF">2024-03-11T11:49:00Z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2024-03-11T11:47:54Z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6abac988-e808-4a8a-a0bd-e7187804881a</vt:lpwstr>
  </property>
  <property fmtid="{D5CDD505-2E9C-101B-9397-08002B2CF9AE}" pid="8" name="MSIP_Label_defa4170-0d19-0005-0004-bc88714345d2_ContentBits">
    <vt:lpwstr>0</vt:lpwstr>
  </property>
</Properties>
</file>